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7555" w14:textId="3BC77A2D" w:rsidR="00F34F09" w:rsidRPr="0016021A" w:rsidRDefault="009A3028" w:rsidP="006009EB">
      <w:pPr>
        <w:spacing w:after="0" w:line="300" w:lineRule="exact"/>
        <w:jc w:val="center"/>
        <w:rPr>
          <w:rFonts w:ascii="Helvetica-Bold" w:hAnsi="Helvetica-Bold" w:cs="Helvetica-Bold"/>
          <w:b/>
          <w:bCs/>
          <w:sz w:val="24"/>
          <w:szCs w:val="24"/>
          <w:lang w:val="en-US"/>
        </w:rPr>
      </w:pPr>
      <w:r>
        <w:rPr>
          <w:rFonts w:ascii="Helvetica-Bold" w:hAnsi="Helvetica-Bold" w:cs="Helvetica-Bold"/>
          <w:b/>
          <w:bCs/>
          <w:sz w:val="24"/>
          <w:szCs w:val="24"/>
          <w:lang w:val="en-US"/>
        </w:rPr>
        <w:t>Betelgeuse</w:t>
      </w:r>
      <w:r w:rsidR="00552B52">
        <w:rPr>
          <w:rFonts w:ascii="Helvetica-Bold" w:hAnsi="Helvetica-Bold" w:cs="Helvetica-Bold"/>
          <w:b/>
          <w:bCs/>
          <w:sz w:val="24"/>
          <w:szCs w:val="24"/>
          <w:lang w:val="en-US"/>
        </w:rPr>
        <w:t xml:space="preserve"> Entertainment</w:t>
      </w:r>
      <w:r w:rsidR="00F34F09" w:rsidRPr="0016021A">
        <w:rPr>
          <w:rFonts w:ascii="Helvetica-Bold" w:hAnsi="Helvetica-Bold" w:cs="Helvetica-Bold"/>
          <w:b/>
          <w:bCs/>
          <w:sz w:val="24"/>
          <w:szCs w:val="24"/>
          <w:lang w:val="en-US"/>
        </w:rPr>
        <w:t xml:space="preserve"> </w:t>
      </w:r>
      <w:r w:rsidR="00843A1A">
        <w:rPr>
          <w:rFonts w:ascii="Helvetica-Bold" w:hAnsi="Helvetica-Bold" w:cs="Helvetica-Bold"/>
          <w:b/>
          <w:bCs/>
          <w:sz w:val="24"/>
          <w:szCs w:val="24"/>
          <w:lang w:val="en-US"/>
        </w:rPr>
        <w:t>B</w:t>
      </w:r>
      <w:r w:rsidR="00F34F09" w:rsidRPr="0016021A">
        <w:rPr>
          <w:rFonts w:ascii="Helvetica-Bold" w:hAnsi="Helvetica-Bold" w:cs="Helvetica-Bold"/>
          <w:b/>
          <w:bCs/>
          <w:sz w:val="24"/>
          <w:szCs w:val="24"/>
          <w:lang w:val="en-US"/>
        </w:rPr>
        <w:t>.V.</w:t>
      </w:r>
    </w:p>
    <w:p w14:paraId="55ADF5ED" w14:textId="77777777" w:rsidR="00F34F09" w:rsidRDefault="00F34F09" w:rsidP="006009EB">
      <w:pPr>
        <w:spacing w:after="0" w:line="300" w:lineRule="exact"/>
        <w:jc w:val="center"/>
        <w:rPr>
          <w:rFonts w:ascii="Times New Roman" w:eastAsia="Times New Roman" w:hAnsi="Times New Roman" w:cs="Times New Roman"/>
          <w:b/>
          <w:bCs/>
          <w:color w:val="000000"/>
          <w:u w:val="single"/>
          <w:lang w:eastAsia="en-GB"/>
        </w:rPr>
      </w:pPr>
    </w:p>
    <w:p w14:paraId="4A411CDE" w14:textId="4BDC005C" w:rsidR="00084AA6" w:rsidRDefault="00E16588" w:rsidP="00552B52">
      <w:pPr>
        <w:spacing w:after="0" w:line="300" w:lineRule="exact"/>
        <w:jc w:val="center"/>
        <w:rPr>
          <w:rFonts w:ascii="Times New Roman" w:eastAsia="Times New Roman" w:hAnsi="Times New Roman" w:cs="Times New Roman"/>
          <w:b/>
          <w:bCs/>
          <w:color w:val="000000"/>
          <w:u w:val="single"/>
          <w:lang w:eastAsia="en-GB"/>
        </w:rPr>
      </w:pPr>
      <w:r w:rsidRPr="00F34F09">
        <w:rPr>
          <w:rFonts w:ascii="Times New Roman" w:eastAsia="Times New Roman" w:hAnsi="Times New Roman" w:cs="Times New Roman"/>
          <w:b/>
          <w:bCs/>
          <w:color w:val="000000"/>
          <w:u w:val="single"/>
          <w:lang w:eastAsia="en-GB"/>
        </w:rPr>
        <w:t>Anti-Money</w:t>
      </w:r>
      <w:r w:rsidR="000D241E" w:rsidRPr="00F34F09">
        <w:rPr>
          <w:rFonts w:ascii="Times New Roman" w:eastAsia="Times New Roman" w:hAnsi="Times New Roman" w:cs="Times New Roman"/>
          <w:b/>
          <w:bCs/>
          <w:color w:val="000000"/>
          <w:u w:val="single"/>
          <w:lang w:eastAsia="en-GB"/>
        </w:rPr>
        <w:t xml:space="preserve"> Laundering and Prevention of Crime Policy</w:t>
      </w:r>
    </w:p>
    <w:p w14:paraId="5206AEBA" w14:textId="77777777" w:rsidR="006B524C" w:rsidRPr="00552B52" w:rsidRDefault="006B524C" w:rsidP="00552B52">
      <w:pPr>
        <w:spacing w:after="0" w:line="300" w:lineRule="exact"/>
        <w:jc w:val="center"/>
        <w:rPr>
          <w:rFonts w:ascii="Times New Roman" w:hAnsi="Times New Roman"/>
        </w:rPr>
      </w:pPr>
    </w:p>
    <w:p w14:paraId="10D6ADD8" w14:textId="6031BA65" w:rsidR="000D241E" w:rsidRPr="00F34F09" w:rsidRDefault="000D241E" w:rsidP="006009EB">
      <w:pPr>
        <w:numPr>
          <w:ilvl w:val="0"/>
          <w:numId w:val="1"/>
        </w:numPr>
        <w:spacing w:after="0" w:line="300" w:lineRule="exact"/>
        <w:ind w:left="360"/>
        <w:jc w:val="both"/>
        <w:textAlignment w:val="baseline"/>
        <w:outlineLvl w:val="2"/>
        <w:rPr>
          <w:rFonts w:ascii="Times New Roman" w:eastAsia="Times New Roman" w:hAnsi="Times New Roman" w:cs="Times New Roman"/>
          <w:b/>
          <w:bCs/>
          <w:color w:val="000000"/>
          <w:lang w:eastAsia="en-GB"/>
        </w:rPr>
      </w:pPr>
      <w:r w:rsidRPr="00F34F09">
        <w:rPr>
          <w:rFonts w:ascii="Times New Roman" w:eastAsia="Times New Roman" w:hAnsi="Times New Roman" w:cs="Times New Roman"/>
          <w:b/>
          <w:bCs/>
          <w:color w:val="000000"/>
          <w:lang w:eastAsia="en-GB"/>
        </w:rPr>
        <w:t>Objectives</w:t>
      </w:r>
    </w:p>
    <w:p w14:paraId="16D7ED1F"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74B073D5" w14:textId="4837558A" w:rsidR="000D241E" w:rsidRDefault="000D241E" w:rsidP="006009EB">
      <w:pPr>
        <w:spacing w:after="0" w:line="300" w:lineRule="exact"/>
        <w:jc w:val="both"/>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The aim of this document is to define the policy and procedures in relation to risk assessment and management and</w:t>
      </w:r>
      <w:r w:rsidR="00C52C7B">
        <w:rPr>
          <w:rFonts w:ascii="Times New Roman" w:eastAsia="Times New Roman" w:hAnsi="Times New Roman" w:cs="Times New Roman"/>
          <w:color w:val="000000"/>
          <w:lang w:eastAsia="en-GB"/>
        </w:rPr>
        <w:t xml:space="preserve"> </w:t>
      </w:r>
      <w:r w:rsidRPr="00F34F09">
        <w:rPr>
          <w:rFonts w:ascii="Times New Roman" w:eastAsia="Times New Roman" w:hAnsi="Times New Roman" w:cs="Times New Roman"/>
          <w:color w:val="000000"/>
          <w:lang w:eastAsia="en-GB"/>
        </w:rPr>
        <w:t xml:space="preserve">involves a number of discrete steps in assessing how to manage and mitigate the money laundering and terrorist financing risks faced by </w:t>
      </w:r>
      <w:r w:rsidR="009A3028">
        <w:rPr>
          <w:rFonts w:ascii="Times New Roman" w:eastAsia="Times New Roman" w:hAnsi="Times New Roman" w:cs="Times New Roman"/>
          <w:color w:val="000000"/>
          <w:lang w:eastAsia="en-GB"/>
        </w:rPr>
        <w:t>Betelgeuse</w:t>
      </w:r>
      <w:r w:rsidR="00FF4455">
        <w:rPr>
          <w:rFonts w:ascii="Times New Roman" w:eastAsia="Times New Roman" w:hAnsi="Times New Roman" w:cs="Times New Roman"/>
          <w:color w:val="000000"/>
          <w:lang w:eastAsia="en-GB"/>
        </w:rPr>
        <w:t xml:space="preserve"> Entertainment B</w:t>
      </w:r>
      <w:r w:rsidR="00F34F09" w:rsidRPr="00F34F09">
        <w:rPr>
          <w:rFonts w:ascii="Times New Roman" w:eastAsia="Times New Roman" w:hAnsi="Times New Roman" w:cs="Times New Roman"/>
          <w:color w:val="000000"/>
          <w:lang w:eastAsia="en-GB"/>
        </w:rPr>
        <w:t>.V.</w:t>
      </w:r>
      <w:r w:rsidR="00084AA6">
        <w:rPr>
          <w:rFonts w:ascii="Times New Roman" w:eastAsia="Times New Roman" w:hAnsi="Times New Roman" w:cs="Times New Roman"/>
          <w:color w:val="000000"/>
          <w:lang w:eastAsia="en-GB"/>
        </w:rPr>
        <w:t xml:space="preserve"> </w:t>
      </w:r>
      <w:r w:rsidRPr="00F34F09">
        <w:rPr>
          <w:rFonts w:ascii="Times New Roman" w:eastAsia="Times New Roman" w:hAnsi="Times New Roman" w:cs="Times New Roman"/>
          <w:color w:val="000000"/>
          <w:lang w:eastAsia="en-GB"/>
        </w:rPr>
        <w:t>(</w:t>
      </w:r>
      <w:r w:rsidRPr="00F34F09">
        <w:rPr>
          <w:rFonts w:ascii="Times New Roman" w:eastAsia="Times New Roman" w:hAnsi="Times New Roman" w:cs="Times New Roman"/>
          <w:b/>
          <w:bCs/>
          <w:color w:val="000000"/>
          <w:lang w:eastAsia="en-GB"/>
        </w:rPr>
        <w:t>the “Company</w:t>
      </w:r>
      <w:r w:rsidRPr="00F34F09">
        <w:rPr>
          <w:rFonts w:ascii="Times New Roman" w:eastAsia="Times New Roman" w:hAnsi="Times New Roman" w:cs="Times New Roman"/>
          <w:color w:val="000000"/>
          <w:lang w:eastAsia="en-GB"/>
        </w:rPr>
        <w:t>”). The Company is committed to prevent gambling from being a source of crime or disorder, being associated with crime or disorder, or being used to support crime.</w:t>
      </w:r>
    </w:p>
    <w:p w14:paraId="48E2EA60" w14:textId="77777777" w:rsidR="006009EB" w:rsidRPr="00F34F09" w:rsidRDefault="006009EB" w:rsidP="006009EB">
      <w:pPr>
        <w:spacing w:after="0" w:line="300" w:lineRule="exact"/>
        <w:jc w:val="both"/>
        <w:rPr>
          <w:rFonts w:ascii="Times New Roman" w:eastAsia="Times New Roman" w:hAnsi="Times New Roman" w:cs="Times New Roman"/>
          <w:lang w:eastAsia="en-GB"/>
        </w:rPr>
      </w:pPr>
    </w:p>
    <w:p w14:paraId="550CF85B" w14:textId="755383E8" w:rsidR="000D241E" w:rsidRPr="00F34F09" w:rsidRDefault="000D241E" w:rsidP="002B70E5">
      <w:pPr>
        <w:numPr>
          <w:ilvl w:val="0"/>
          <w:numId w:val="1"/>
        </w:numPr>
        <w:spacing w:after="0" w:line="300" w:lineRule="exact"/>
        <w:ind w:left="360"/>
        <w:jc w:val="both"/>
        <w:textAlignment w:val="baseline"/>
        <w:outlineLvl w:val="2"/>
        <w:rPr>
          <w:rFonts w:ascii="Times New Roman" w:eastAsia="Times New Roman" w:hAnsi="Times New Roman" w:cs="Times New Roman"/>
          <w:b/>
          <w:bCs/>
          <w:color w:val="000000"/>
          <w:lang w:eastAsia="en-GB"/>
        </w:rPr>
      </w:pPr>
      <w:r w:rsidRPr="00F34F09">
        <w:rPr>
          <w:rFonts w:ascii="Times New Roman" w:eastAsia="Times New Roman" w:hAnsi="Times New Roman" w:cs="Times New Roman"/>
          <w:b/>
          <w:bCs/>
          <w:color w:val="000000"/>
          <w:lang w:eastAsia="en-GB"/>
        </w:rPr>
        <w:t>The meaning of money laundering</w:t>
      </w:r>
    </w:p>
    <w:p w14:paraId="6DA0A1B5"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1A22538F" w14:textId="5DBCC5BE" w:rsidR="007C7DB9" w:rsidRPr="007C7DB9" w:rsidRDefault="007C7DB9" w:rsidP="00F43D80">
      <w:pPr>
        <w:spacing w:after="0" w:line="300" w:lineRule="exact"/>
        <w:jc w:val="both"/>
        <w:rPr>
          <w:rFonts w:ascii="Times New Roman" w:eastAsia="Times New Roman" w:hAnsi="Times New Roman" w:cs="Times New Roman"/>
          <w:color w:val="000000"/>
          <w:lang w:eastAsia="en-GB"/>
        </w:rPr>
      </w:pPr>
      <w:r w:rsidRPr="00F43D80">
        <w:rPr>
          <w:rFonts w:ascii="Times New Roman" w:eastAsia="Times New Roman" w:hAnsi="Times New Roman" w:cs="Times New Roman"/>
          <w:color w:val="000000"/>
          <w:lang w:eastAsia="en-GB"/>
        </w:rPr>
        <w:t xml:space="preserve">The Company operates under the </w:t>
      </w:r>
      <w:r w:rsidRPr="007C7DB9">
        <w:rPr>
          <w:rFonts w:ascii="Times New Roman" w:eastAsia="Times New Roman" w:hAnsi="Times New Roman" w:cs="Times New Roman"/>
          <w:color w:val="000000"/>
          <w:lang w:eastAsia="en-GB"/>
        </w:rPr>
        <w:t xml:space="preserve">National Ordinance on </w:t>
      </w:r>
      <w:r w:rsidR="009D1BED">
        <w:rPr>
          <w:rFonts w:ascii="Times New Roman" w:eastAsia="Times New Roman" w:hAnsi="Times New Roman" w:cs="Times New Roman"/>
          <w:color w:val="000000"/>
          <w:lang w:eastAsia="en-GB"/>
        </w:rPr>
        <w:t>I</w:t>
      </w:r>
      <w:r w:rsidRPr="007C7DB9">
        <w:rPr>
          <w:rFonts w:ascii="Times New Roman" w:eastAsia="Times New Roman" w:hAnsi="Times New Roman" w:cs="Times New Roman"/>
          <w:color w:val="000000"/>
          <w:lang w:eastAsia="en-GB"/>
        </w:rPr>
        <w:t xml:space="preserve">dentification when </w:t>
      </w:r>
      <w:r w:rsidR="00BB1F31">
        <w:rPr>
          <w:rFonts w:ascii="Times New Roman" w:eastAsia="Times New Roman" w:hAnsi="Times New Roman" w:cs="Times New Roman"/>
          <w:color w:val="000000"/>
          <w:lang w:eastAsia="en-GB"/>
        </w:rPr>
        <w:t>rendering the s</w:t>
      </w:r>
      <w:r w:rsidRPr="007C7DB9">
        <w:rPr>
          <w:rFonts w:ascii="Times New Roman" w:eastAsia="Times New Roman" w:hAnsi="Times New Roman" w:cs="Times New Roman"/>
          <w:color w:val="000000"/>
          <w:lang w:eastAsia="en-GB"/>
        </w:rPr>
        <w:t>ervices (</w:t>
      </w:r>
      <w:proofErr w:type="spellStart"/>
      <w:r w:rsidRPr="007C7DB9">
        <w:rPr>
          <w:rFonts w:ascii="Times New Roman" w:eastAsia="Times New Roman" w:hAnsi="Times New Roman" w:cs="Times New Roman"/>
          <w:color w:val="000000"/>
          <w:lang w:eastAsia="en-GB"/>
        </w:rPr>
        <w:t>Landsverordening</w:t>
      </w:r>
      <w:proofErr w:type="spellEnd"/>
      <w:r w:rsidRPr="007C7DB9">
        <w:rPr>
          <w:rFonts w:ascii="Times New Roman" w:eastAsia="Times New Roman" w:hAnsi="Times New Roman" w:cs="Times New Roman"/>
          <w:color w:val="000000"/>
          <w:lang w:eastAsia="en-GB"/>
        </w:rPr>
        <w:t xml:space="preserve"> </w:t>
      </w:r>
      <w:proofErr w:type="spellStart"/>
      <w:r w:rsidRPr="007C7DB9">
        <w:rPr>
          <w:rFonts w:ascii="Times New Roman" w:eastAsia="Times New Roman" w:hAnsi="Times New Roman" w:cs="Times New Roman"/>
          <w:color w:val="000000"/>
          <w:lang w:eastAsia="en-GB"/>
        </w:rPr>
        <w:t>identificatie</w:t>
      </w:r>
      <w:proofErr w:type="spellEnd"/>
      <w:r w:rsidRPr="007C7DB9">
        <w:rPr>
          <w:rFonts w:ascii="Times New Roman" w:eastAsia="Times New Roman" w:hAnsi="Times New Roman" w:cs="Times New Roman"/>
          <w:color w:val="000000"/>
          <w:lang w:eastAsia="en-GB"/>
        </w:rPr>
        <w:t xml:space="preserve"> </w:t>
      </w:r>
      <w:proofErr w:type="spellStart"/>
      <w:r w:rsidRPr="007C7DB9">
        <w:rPr>
          <w:rFonts w:ascii="Times New Roman" w:eastAsia="Times New Roman" w:hAnsi="Times New Roman" w:cs="Times New Roman"/>
          <w:color w:val="000000"/>
          <w:lang w:eastAsia="en-GB"/>
        </w:rPr>
        <w:t>bij</w:t>
      </w:r>
      <w:proofErr w:type="spellEnd"/>
      <w:r w:rsidRPr="007C7DB9">
        <w:rPr>
          <w:rFonts w:ascii="Times New Roman" w:eastAsia="Times New Roman" w:hAnsi="Times New Roman" w:cs="Times New Roman"/>
          <w:color w:val="000000"/>
          <w:lang w:eastAsia="en-GB"/>
        </w:rPr>
        <w:t xml:space="preserve"> </w:t>
      </w:r>
      <w:proofErr w:type="spellStart"/>
      <w:r w:rsidRPr="007C7DB9">
        <w:rPr>
          <w:rFonts w:ascii="Times New Roman" w:eastAsia="Times New Roman" w:hAnsi="Times New Roman" w:cs="Times New Roman"/>
          <w:color w:val="000000"/>
          <w:lang w:eastAsia="en-GB"/>
        </w:rPr>
        <w:t>dienstverlening</w:t>
      </w:r>
      <w:proofErr w:type="spellEnd"/>
      <w:r w:rsidRPr="007C7DB9">
        <w:rPr>
          <w:rFonts w:ascii="Times New Roman" w:eastAsia="Times New Roman" w:hAnsi="Times New Roman" w:cs="Times New Roman"/>
          <w:color w:val="000000"/>
          <w:lang w:eastAsia="en-GB"/>
        </w:rPr>
        <w:t xml:space="preserve"> (LID), PB 2017, no. 92), the National Ordinance on the </w:t>
      </w:r>
      <w:r w:rsidR="009D1BED">
        <w:rPr>
          <w:rFonts w:ascii="Times New Roman" w:eastAsia="Times New Roman" w:hAnsi="Times New Roman" w:cs="Times New Roman"/>
          <w:color w:val="000000"/>
          <w:lang w:eastAsia="en-GB"/>
        </w:rPr>
        <w:t>R</w:t>
      </w:r>
      <w:r w:rsidRPr="007C7DB9">
        <w:rPr>
          <w:rFonts w:ascii="Times New Roman" w:eastAsia="Times New Roman" w:hAnsi="Times New Roman" w:cs="Times New Roman"/>
          <w:color w:val="000000"/>
          <w:lang w:eastAsia="en-GB"/>
        </w:rPr>
        <w:t xml:space="preserve">eporting of </w:t>
      </w:r>
      <w:r w:rsidR="009D1BED">
        <w:rPr>
          <w:rFonts w:ascii="Times New Roman" w:eastAsia="Times New Roman" w:hAnsi="Times New Roman" w:cs="Times New Roman"/>
          <w:color w:val="000000"/>
          <w:lang w:eastAsia="en-GB"/>
        </w:rPr>
        <w:t>U</w:t>
      </w:r>
      <w:r w:rsidRPr="007C7DB9">
        <w:rPr>
          <w:rFonts w:ascii="Times New Roman" w:eastAsia="Times New Roman" w:hAnsi="Times New Roman" w:cs="Times New Roman"/>
          <w:color w:val="000000"/>
          <w:lang w:eastAsia="en-GB"/>
        </w:rPr>
        <w:t xml:space="preserve">nusual </w:t>
      </w:r>
      <w:r w:rsidR="009D1BED">
        <w:rPr>
          <w:rFonts w:ascii="Times New Roman" w:eastAsia="Times New Roman" w:hAnsi="Times New Roman" w:cs="Times New Roman"/>
          <w:color w:val="000000"/>
          <w:lang w:eastAsia="en-GB"/>
        </w:rPr>
        <w:t>T</w:t>
      </w:r>
      <w:r w:rsidRPr="007C7DB9">
        <w:rPr>
          <w:rFonts w:ascii="Times New Roman" w:eastAsia="Times New Roman" w:hAnsi="Times New Roman" w:cs="Times New Roman"/>
          <w:color w:val="000000"/>
          <w:lang w:eastAsia="en-GB"/>
        </w:rPr>
        <w:t>ransactions (</w:t>
      </w:r>
      <w:proofErr w:type="spellStart"/>
      <w:r w:rsidRPr="007C7DB9">
        <w:rPr>
          <w:rFonts w:ascii="Times New Roman" w:eastAsia="Times New Roman" w:hAnsi="Times New Roman" w:cs="Times New Roman"/>
          <w:color w:val="000000"/>
          <w:lang w:eastAsia="en-GB"/>
        </w:rPr>
        <w:t>Landsverordening</w:t>
      </w:r>
      <w:proofErr w:type="spellEnd"/>
      <w:r w:rsidRPr="007C7DB9">
        <w:rPr>
          <w:rFonts w:ascii="Times New Roman" w:eastAsia="Times New Roman" w:hAnsi="Times New Roman" w:cs="Times New Roman"/>
          <w:color w:val="000000"/>
          <w:lang w:eastAsia="en-GB"/>
        </w:rPr>
        <w:t xml:space="preserve"> melding </w:t>
      </w:r>
      <w:proofErr w:type="spellStart"/>
      <w:r w:rsidRPr="007C7DB9">
        <w:rPr>
          <w:rFonts w:ascii="Times New Roman" w:eastAsia="Times New Roman" w:hAnsi="Times New Roman" w:cs="Times New Roman"/>
          <w:color w:val="000000"/>
          <w:lang w:eastAsia="en-GB"/>
        </w:rPr>
        <w:t>ongebruikelijke</w:t>
      </w:r>
      <w:proofErr w:type="spellEnd"/>
      <w:r w:rsidRPr="007C7DB9">
        <w:rPr>
          <w:rFonts w:ascii="Times New Roman" w:eastAsia="Times New Roman" w:hAnsi="Times New Roman" w:cs="Times New Roman"/>
          <w:color w:val="000000"/>
          <w:lang w:eastAsia="en-GB"/>
        </w:rPr>
        <w:t xml:space="preserve"> </w:t>
      </w:r>
      <w:proofErr w:type="spellStart"/>
      <w:r w:rsidRPr="007C7DB9">
        <w:rPr>
          <w:rFonts w:ascii="Times New Roman" w:eastAsia="Times New Roman" w:hAnsi="Times New Roman" w:cs="Times New Roman"/>
          <w:color w:val="000000"/>
          <w:lang w:eastAsia="en-GB"/>
        </w:rPr>
        <w:t>transacties</w:t>
      </w:r>
      <w:proofErr w:type="spellEnd"/>
      <w:r w:rsidRPr="007C7DB9">
        <w:rPr>
          <w:rFonts w:ascii="Times New Roman" w:eastAsia="Times New Roman" w:hAnsi="Times New Roman" w:cs="Times New Roman"/>
          <w:color w:val="000000"/>
          <w:lang w:eastAsia="en-GB"/>
        </w:rPr>
        <w:t xml:space="preserve"> (LMOT), PB 2017, no. 99)</w:t>
      </w:r>
      <w:r w:rsidRPr="00F43D80">
        <w:rPr>
          <w:rFonts w:ascii="Times New Roman" w:eastAsia="Times New Roman" w:hAnsi="Times New Roman" w:cs="Times New Roman"/>
          <w:color w:val="000000"/>
          <w:lang w:eastAsia="en-GB"/>
        </w:rPr>
        <w:t xml:space="preserve">, </w:t>
      </w:r>
      <w:r w:rsidRPr="007C7DB9">
        <w:rPr>
          <w:rFonts w:ascii="Times New Roman" w:eastAsia="Times New Roman" w:hAnsi="Times New Roman" w:cs="Times New Roman"/>
          <w:color w:val="000000"/>
          <w:lang w:eastAsia="en-GB"/>
        </w:rPr>
        <w:t>National Decree supervisor identification when rendering services gaming sector (</w:t>
      </w:r>
      <w:proofErr w:type="spellStart"/>
      <w:r w:rsidRPr="007C7DB9">
        <w:rPr>
          <w:rFonts w:ascii="Times New Roman" w:eastAsia="Times New Roman" w:hAnsi="Times New Roman" w:cs="Times New Roman"/>
          <w:color w:val="000000"/>
          <w:lang w:eastAsia="en-GB"/>
        </w:rPr>
        <w:t>Landsbesluit</w:t>
      </w:r>
      <w:proofErr w:type="spellEnd"/>
      <w:r w:rsidRPr="007C7DB9">
        <w:rPr>
          <w:rFonts w:ascii="Times New Roman" w:eastAsia="Times New Roman" w:hAnsi="Times New Roman" w:cs="Times New Roman"/>
          <w:color w:val="000000"/>
          <w:lang w:eastAsia="en-GB"/>
        </w:rPr>
        <w:t xml:space="preserve"> </w:t>
      </w:r>
      <w:proofErr w:type="spellStart"/>
      <w:r w:rsidRPr="007C7DB9">
        <w:rPr>
          <w:rFonts w:ascii="Times New Roman" w:eastAsia="Times New Roman" w:hAnsi="Times New Roman" w:cs="Times New Roman"/>
          <w:color w:val="000000"/>
          <w:lang w:eastAsia="en-GB"/>
        </w:rPr>
        <w:t>toezichthouder</w:t>
      </w:r>
      <w:proofErr w:type="spellEnd"/>
      <w:r w:rsidRPr="007C7DB9">
        <w:rPr>
          <w:rFonts w:ascii="Times New Roman" w:eastAsia="Times New Roman" w:hAnsi="Times New Roman" w:cs="Times New Roman"/>
          <w:color w:val="000000"/>
          <w:lang w:eastAsia="en-GB"/>
        </w:rPr>
        <w:t xml:space="preserve"> </w:t>
      </w:r>
      <w:proofErr w:type="spellStart"/>
      <w:r w:rsidRPr="007C7DB9">
        <w:rPr>
          <w:rFonts w:ascii="Times New Roman" w:eastAsia="Times New Roman" w:hAnsi="Times New Roman" w:cs="Times New Roman"/>
          <w:color w:val="000000"/>
          <w:lang w:eastAsia="en-GB"/>
        </w:rPr>
        <w:t>identificatie</w:t>
      </w:r>
      <w:proofErr w:type="spellEnd"/>
      <w:r w:rsidRPr="007C7DB9">
        <w:rPr>
          <w:rFonts w:ascii="Times New Roman" w:eastAsia="Times New Roman" w:hAnsi="Times New Roman" w:cs="Times New Roman"/>
          <w:color w:val="000000"/>
          <w:lang w:eastAsia="en-GB"/>
        </w:rPr>
        <w:t xml:space="preserve"> </w:t>
      </w:r>
      <w:proofErr w:type="spellStart"/>
      <w:r w:rsidRPr="007C7DB9">
        <w:rPr>
          <w:rFonts w:ascii="Times New Roman" w:eastAsia="Times New Roman" w:hAnsi="Times New Roman" w:cs="Times New Roman"/>
          <w:color w:val="000000"/>
          <w:lang w:eastAsia="en-GB"/>
        </w:rPr>
        <w:t>bij</w:t>
      </w:r>
      <w:proofErr w:type="spellEnd"/>
      <w:r w:rsidRPr="007C7DB9">
        <w:rPr>
          <w:rFonts w:ascii="Times New Roman" w:eastAsia="Times New Roman" w:hAnsi="Times New Roman" w:cs="Times New Roman"/>
          <w:color w:val="000000"/>
          <w:lang w:eastAsia="en-GB"/>
        </w:rPr>
        <w:t xml:space="preserve"> </w:t>
      </w:r>
      <w:proofErr w:type="spellStart"/>
      <w:r w:rsidRPr="007C7DB9">
        <w:rPr>
          <w:rFonts w:ascii="Times New Roman" w:eastAsia="Times New Roman" w:hAnsi="Times New Roman" w:cs="Times New Roman"/>
          <w:color w:val="000000"/>
          <w:lang w:eastAsia="en-GB"/>
        </w:rPr>
        <w:t>dienstverlening</w:t>
      </w:r>
      <w:proofErr w:type="spellEnd"/>
      <w:r w:rsidRPr="007C7DB9">
        <w:rPr>
          <w:rFonts w:ascii="Times New Roman" w:eastAsia="Times New Roman" w:hAnsi="Times New Roman" w:cs="Times New Roman"/>
          <w:color w:val="000000"/>
          <w:lang w:eastAsia="en-GB"/>
        </w:rPr>
        <w:t xml:space="preserve"> </w:t>
      </w:r>
      <w:proofErr w:type="spellStart"/>
      <w:r w:rsidRPr="007C7DB9">
        <w:rPr>
          <w:rFonts w:ascii="Times New Roman" w:eastAsia="Times New Roman" w:hAnsi="Times New Roman" w:cs="Times New Roman"/>
          <w:color w:val="000000"/>
          <w:lang w:eastAsia="en-GB"/>
        </w:rPr>
        <w:t>kansspelsector</w:t>
      </w:r>
      <w:proofErr w:type="spellEnd"/>
      <w:r w:rsidRPr="007C7DB9">
        <w:rPr>
          <w:rFonts w:ascii="Times New Roman" w:eastAsia="Times New Roman" w:hAnsi="Times New Roman" w:cs="Times New Roman"/>
          <w:color w:val="000000"/>
          <w:lang w:eastAsia="en-GB"/>
        </w:rPr>
        <w:t xml:space="preserve">, LB van 28 </w:t>
      </w:r>
      <w:proofErr w:type="spellStart"/>
      <w:r w:rsidRPr="007C7DB9">
        <w:rPr>
          <w:rFonts w:ascii="Times New Roman" w:eastAsia="Times New Roman" w:hAnsi="Times New Roman" w:cs="Times New Roman"/>
          <w:color w:val="000000"/>
          <w:lang w:eastAsia="en-GB"/>
        </w:rPr>
        <w:t>januari</w:t>
      </w:r>
      <w:proofErr w:type="spellEnd"/>
      <w:r w:rsidRPr="007C7DB9">
        <w:rPr>
          <w:rFonts w:ascii="Times New Roman" w:eastAsia="Times New Roman" w:hAnsi="Times New Roman" w:cs="Times New Roman"/>
          <w:color w:val="000000"/>
          <w:lang w:eastAsia="en-GB"/>
        </w:rPr>
        <w:t xml:space="preserve"> 2019, no. 19/0282) and the National Decree supervisor unusual transactions gaming sector (</w:t>
      </w:r>
      <w:proofErr w:type="spellStart"/>
      <w:r w:rsidRPr="007C7DB9">
        <w:rPr>
          <w:rFonts w:ascii="Times New Roman" w:eastAsia="Times New Roman" w:hAnsi="Times New Roman" w:cs="Times New Roman"/>
          <w:color w:val="000000"/>
          <w:lang w:eastAsia="en-GB"/>
        </w:rPr>
        <w:t>Landsbesluit</w:t>
      </w:r>
      <w:proofErr w:type="spellEnd"/>
      <w:r w:rsidRPr="007C7DB9">
        <w:rPr>
          <w:rFonts w:ascii="Times New Roman" w:eastAsia="Times New Roman" w:hAnsi="Times New Roman" w:cs="Times New Roman"/>
          <w:color w:val="000000"/>
          <w:lang w:eastAsia="en-GB"/>
        </w:rPr>
        <w:t xml:space="preserve"> </w:t>
      </w:r>
      <w:proofErr w:type="spellStart"/>
      <w:r w:rsidRPr="007C7DB9">
        <w:rPr>
          <w:rFonts w:ascii="Times New Roman" w:eastAsia="Times New Roman" w:hAnsi="Times New Roman" w:cs="Times New Roman"/>
          <w:color w:val="000000"/>
          <w:lang w:eastAsia="en-GB"/>
        </w:rPr>
        <w:t>toezichthouder</w:t>
      </w:r>
      <w:proofErr w:type="spellEnd"/>
      <w:r w:rsidRPr="007C7DB9">
        <w:rPr>
          <w:rFonts w:ascii="Times New Roman" w:eastAsia="Times New Roman" w:hAnsi="Times New Roman" w:cs="Times New Roman"/>
          <w:color w:val="000000"/>
          <w:lang w:eastAsia="en-GB"/>
        </w:rPr>
        <w:t xml:space="preserve"> </w:t>
      </w:r>
      <w:proofErr w:type="spellStart"/>
      <w:r w:rsidRPr="007C7DB9">
        <w:rPr>
          <w:rFonts w:ascii="Times New Roman" w:eastAsia="Times New Roman" w:hAnsi="Times New Roman" w:cs="Times New Roman"/>
          <w:color w:val="000000"/>
          <w:lang w:eastAsia="en-GB"/>
        </w:rPr>
        <w:t>ongebruikelijke</w:t>
      </w:r>
      <w:proofErr w:type="spellEnd"/>
      <w:r w:rsidRPr="007C7DB9">
        <w:rPr>
          <w:rFonts w:ascii="Times New Roman" w:eastAsia="Times New Roman" w:hAnsi="Times New Roman" w:cs="Times New Roman"/>
          <w:color w:val="000000"/>
          <w:lang w:eastAsia="en-GB"/>
        </w:rPr>
        <w:t xml:space="preserve"> </w:t>
      </w:r>
      <w:proofErr w:type="spellStart"/>
      <w:r w:rsidRPr="007C7DB9">
        <w:rPr>
          <w:rFonts w:ascii="Times New Roman" w:eastAsia="Times New Roman" w:hAnsi="Times New Roman" w:cs="Times New Roman"/>
          <w:color w:val="000000"/>
          <w:lang w:eastAsia="en-GB"/>
        </w:rPr>
        <w:t>transacties</w:t>
      </w:r>
      <w:proofErr w:type="spellEnd"/>
      <w:r w:rsidRPr="007C7DB9">
        <w:rPr>
          <w:rFonts w:ascii="Times New Roman" w:eastAsia="Times New Roman" w:hAnsi="Times New Roman" w:cs="Times New Roman"/>
          <w:color w:val="000000"/>
          <w:lang w:eastAsia="en-GB"/>
        </w:rPr>
        <w:t xml:space="preserve"> </w:t>
      </w:r>
      <w:proofErr w:type="spellStart"/>
      <w:r w:rsidRPr="007C7DB9">
        <w:rPr>
          <w:rFonts w:ascii="Times New Roman" w:eastAsia="Times New Roman" w:hAnsi="Times New Roman" w:cs="Times New Roman"/>
          <w:color w:val="000000"/>
          <w:lang w:eastAsia="en-GB"/>
        </w:rPr>
        <w:t>kansspelsector</w:t>
      </w:r>
      <w:proofErr w:type="spellEnd"/>
      <w:r w:rsidRPr="007C7DB9">
        <w:rPr>
          <w:rFonts w:ascii="Times New Roman" w:eastAsia="Times New Roman" w:hAnsi="Times New Roman" w:cs="Times New Roman"/>
          <w:color w:val="000000"/>
          <w:lang w:eastAsia="en-GB"/>
        </w:rPr>
        <w:t xml:space="preserve">, LB van 28 </w:t>
      </w:r>
      <w:proofErr w:type="spellStart"/>
      <w:r w:rsidRPr="007C7DB9">
        <w:rPr>
          <w:rFonts w:ascii="Times New Roman" w:eastAsia="Times New Roman" w:hAnsi="Times New Roman" w:cs="Times New Roman"/>
          <w:color w:val="000000"/>
          <w:lang w:eastAsia="en-GB"/>
        </w:rPr>
        <w:t>januari</w:t>
      </w:r>
      <w:proofErr w:type="spellEnd"/>
      <w:r w:rsidRPr="007C7DB9">
        <w:rPr>
          <w:rFonts w:ascii="Times New Roman" w:eastAsia="Times New Roman" w:hAnsi="Times New Roman" w:cs="Times New Roman"/>
          <w:color w:val="000000"/>
          <w:lang w:eastAsia="en-GB"/>
        </w:rPr>
        <w:t xml:space="preserve"> 2019, no. 19/0283).</w:t>
      </w:r>
    </w:p>
    <w:p w14:paraId="5D260581" w14:textId="77777777" w:rsidR="006009EB" w:rsidRPr="00F34F09" w:rsidRDefault="006009EB" w:rsidP="006009EB">
      <w:pPr>
        <w:spacing w:after="0" w:line="300" w:lineRule="exact"/>
        <w:jc w:val="both"/>
        <w:rPr>
          <w:rFonts w:ascii="Times New Roman" w:eastAsia="Times New Roman" w:hAnsi="Times New Roman" w:cs="Times New Roman"/>
          <w:lang w:eastAsia="en-GB"/>
        </w:rPr>
      </w:pPr>
    </w:p>
    <w:p w14:paraId="3579FED7" w14:textId="77777777"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Money laundering covers wide-ranging circumstances involving any activity concerning the proceeds of crime and includes:</w:t>
      </w:r>
    </w:p>
    <w:p w14:paraId="37CCAE76" w14:textId="77777777" w:rsidR="000D241E" w:rsidRPr="006009EB" w:rsidRDefault="000D241E" w:rsidP="006009EB">
      <w:pPr>
        <w:pStyle w:val="ListParagraph"/>
        <w:numPr>
          <w:ilvl w:val="0"/>
          <w:numId w:val="16"/>
        </w:numPr>
        <w:spacing w:after="0" w:line="300" w:lineRule="exact"/>
        <w:jc w:val="both"/>
        <w:rPr>
          <w:rFonts w:ascii="Times New Roman" w:eastAsia="Times New Roman" w:hAnsi="Times New Roman" w:cs="Times New Roman"/>
          <w:lang w:eastAsia="en-GB"/>
        </w:rPr>
      </w:pPr>
      <w:r w:rsidRPr="006009EB">
        <w:rPr>
          <w:rFonts w:ascii="Times New Roman" w:eastAsia="Times New Roman" w:hAnsi="Times New Roman" w:cs="Times New Roman"/>
          <w:color w:val="000000"/>
          <w:lang w:eastAsia="en-GB"/>
        </w:rPr>
        <w:t>trying to turn money raised through criminal activity into ‘clean’ money,</w:t>
      </w:r>
    </w:p>
    <w:p w14:paraId="424DB723" w14:textId="77777777" w:rsidR="000D241E" w:rsidRPr="006009EB" w:rsidRDefault="000D241E" w:rsidP="006009EB">
      <w:pPr>
        <w:pStyle w:val="ListParagraph"/>
        <w:numPr>
          <w:ilvl w:val="0"/>
          <w:numId w:val="16"/>
        </w:numPr>
        <w:spacing w:after="0" w:line="300" w:lineRule="exact"/>
        <w:jc w:val="both"/>
        <w:rPr>
          <w:rFonts w:ascii="Times New Roman" w:eastAsia="Times New Roman" w:hAnsi="Times New Roman" w:cs="Times New Roman"/>
          <w:lang w:eastAsia="en-GB"/>
        </w:rPr>
      </w:pPr>
      <w:r w:rsidRPr="006009EB">
        <w:rPr>
          <w:rFonts w:ascii="Times New Roman" w:eastAsia="Times New Roman" w:hAnsi="Times New Roman" w:cs="Times New Roman"/>
          <w:color w:val="000000"/>
          <w:lang w:eastAsia="en-GB"/>
        </w:rPr>
        <w:t>possessing or transferring the benefit of acquisitive crimes such as theft and fraud, and funds generated from crimes like tax evasion (this includes the possession by an offender of the proceeds of his own criminal activity),</w:t>
      </w:r>
    </w:p>
    <w:p w14:paraId="3A77A47D" w14:textId="77777777" w:rsidR="000D241E" w:rsidRPr="006009EB" w:rsidRDefault="000D241E" w:rsidP="006009EB">
      <w:pPr>
        <w:pStyle w:val="ListParagraph"/>
        <w:numPr>
          <w:ilvl w:val="0"/>
          <w:numId w:val="16"/>
        </w:numPr>
        <w:spacing w:after="0" w:line="300" w:lineRule="exact"/>
        <w:jc w:val="both"/>
        <w:rPr>
          <w:rFonts w:ascii="Times New Roman" w:eastAsia="Times New Roman" w:hAnsi="Times New Roman" w:cs="Times New Roman"/>
          <w:lang w:eastAsia="en-GB"/>
        </w:rPr>
      </w:pPr>
      <w:r w:rsidRPr="006009EB">
        <w:rPr>
          <w:rFonts w:ascii="Times New Roman" w:eastAsia="Times New Roman" w:hAnsi="Times New Roman" w:cs="Times New Roman"/>
          <w:color w:val="000000"/>
          <w:lang w:eastAsia="en-GB"/>
        </w:rPr>
        <w:t>possessing or transferring stolen goods,</w:t>
      </w:r>
    </w:p>
    <w:p w14:paraId="1AEE2308" w14:textId="77777777" w:rsidR="000D241E" w:rsidRPr="006009EB" w:rsidRDefault="000D241E" w:rsidP="006009EB">
      <w:pPr>
        <w:pStyle w:val="ListParagraph"/>
        <w:numPr>
          <w:ilvl w:val="0"/>
          <w:numId w:val="16"/>
        </w:numPr>
        <w:spacing w:after="0" w:line="300" w:lineRule="exact"/>
        <w:jc w:val="both"/>
        <w:rPr>
          <w:rFonts w:ascii="Times New Roman" w:eastAsia="Times New Roman" w:hAnsi="Times New Roman" w:cs="Times New Roman"/>
          <w:lang w:eastAsia="en-GB"/>
        </w:rPr>
      </w:pPr>
      <w:r w:rsidRPr="006009EB">
        <w:rPr>
          <w:rFonts w:ascii="Times New Roman" w:eastAsia="Times New Roman" w:hAnsi="Times New Roman" w:cs="Times New Roman"/>
          <w:color w:val="000000"/>
          <w:lang w:eastAsia="en-GB"/>
        </w:rPr>
        <w:t>being directly involved with any criminal or terrorist property, or entering into arrangements to facilitate the laundering of criminal or terrorist property,</w:t>
      </w:r>
    </w:p>
    <w:p w14:paraId="3CC2B8A8" w14:textId="77777777" w:rsidR="000D241E" w:rsidRPr="006009EB" w:rsidRDefault="000D241E" w:rsidP="006009EB">
      <w:pPr>
        <w:pStyle w:val="ListParagraph"/>
        <w:numPr>
          <w:ilvl w:val="0"/>
          <w:numId w:val="16"/>
        </w:numPr>
        <w:spacing w:after="0" w:line="300" w:lineRule="exact"/>
        <w:jc w:val="both"/>
        <w:rPr>
          <w:rFonts w:ascii="Times New Roman" w:eastAsia="Times New Roman" w:hAnsi="Times New Roman" w:cs="Times New Roman"/>
          <w:lang w:eastAsia="en-GB"/>
        </w:rPr>
      </w:pPr>
      <w:r w:rsidRPr="006009EB">
        <w:rPr>
          <w:rFonts w:ascii="Times New Roman" w:eastAsia="Times New Roman" w:hAnsi="Times New Roman" w:cs="Times New Roman"/>
          <w:color w:val="000000"/>
          <w:lang w:eastAsia="en-GB"/>
        </w:rPr>
        <w:t>criminals investing the proceeds of their crimes in the whole range of financial products.</w:t>
      </w:r>
    </w:p>
    <w:p w14:paraId="1532DB34" w14:textId="2FA84511" w:rsidR="000D241E" w:rsidRPr="006009EB" w:rsidRDefault="000D241E" w:rsidP="006009EB">
      <w:pPr>
        <w:pStyle w:val="ListParagraph"/>
        <w:numPr>
          <w:ilvl w:val="0"/>
          <w:numId w:val="16"/>
        </w:numPr>
        <w:spacing w:after="0" w:line="300" w:lineRule="exact"/>
        <w:jc w:val="both"/>
        <w:rPr>
          <w:rFonts w:ascii="Times New Roman" w:eastAsia="Times New Roman" w:hAnsi="Times New Roman" w:cs="Times New Roman"/>
          <w:lang w:eastAsia="en-GB"/>
        </w:rPr>
      </w:pPr>
      <w:r w:rsidRPr="006009EB">
        <w:rPr>
          <w:rFonts w:ascii="Times New Roman" w:eastAsia="Times New Roman" w:hAnsi="Times New Roman" w:cs="Times New Roman"/>
          <w:color w:val="000000"/>
          <w:lang w:eastAsia="en-GB"/>
        </w:rPr>
        <w:t>entering into arrangements to facilitate the laundering of criminal or terrorist property</w:t>
      </w:r>
      <w:r w:rsidR="00C52C7B">
        <w:rPr>
          <w:rFonts w:ascii="Times New Roman" w:eastAsia="Times New Roman" w:hAnsi="Times New Roman" w:cs="Times New Roman"/>
          <w:color w:val="000000"/>
          <w:lang w:eastAsia="en-GB"/>
        </w:rPr>
        <w:t>.</w:t>
      </w:r>
    </w:p>
    <w:p w14:paraId="5B100905" w14:textId="1980057E" w:rsidR="000D241E" w:rsidRPr="006009EB" w:rsidRDefault="000D241E" w:rsidP="006009EB">
      <w:pPr>
        <w:pStyle w:val="ListParagraph"/>
        <w:spacing w:after="0" w:line="300" w:lineRule="exact"/>
        <w:rPr>
          <w:rFonts w:ascii="Times New Roman" w:eastAsia="Times New Roman" w:hAnsi="Times New Roman" w:cs="Times New Roman"/>
          <w:lang w:eastAsia="en-GB"/>
        </w:rPr>
      </w:pPr>
    </w:p>
    <w:p w14:paraId="1136E853" w14:textId="77777777" w:rsidR="000D241E" w:rsidRPr="00F34F09" w:rsidRDefault="000D241E" w:rsidP="00FF4455">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There are two main forms of money laundering in the gambling sector:</w:t>
      </w:r>
    </w:p>
    <w:p w14:paraId="551EC2AD" w14:textId="2EB02859" w:rsidR="000D241E" w:rsidRPr="006009EB" w:rsidRDefault="000D241E" w:rsidP="006009EB">
      <w:pPr>
        <w:pStyle w:val="ListParagraph"/>
        <w:numPr>
          <w:ilvl w:val="0"/>
          <w:numId w:val="17"/>
        </w:numPr>
        <w:spacing w:after="0" w:line="300" w:lineRule="exact"/>
        <w:jc w:val="both"/>
        <w:rPr>
          <w:rFonts w:ascii="Times New Roman" w:eastAsia="Times New Roman" w:hAnsi="Times New Roman" w:cs="Times New Roman"/>
          <w:lang w:eastAsia="en-GB"/>
        </w:rPr>
      </w:pPr>
      <w:r w:rsidRPr="006009EB">
        <w:rPr>
          <w:rFonts w:ascii="Times New Roman" w:eastAsia="Times New Roman" w:hAnsi="Times New Roman" w:cs="Times New Roman"/>
          <w:color w:val="000000"/>
          <w:lang w:eastAsia="en-GB"/>
        </w:rPr>
        <w:t>exchanging money, assets, goods and property that were acquired criminally for money or assets that appear to be legitimate or clean, achieved by transferring or passing the funds through some form of legitimate business transaction or structure</w:t>
      </w:r>
      <w:r w:rsidR="00D03BEE">
        <w:rPr>
          <w:rFonts w:ascii="Times New Roman" w:eastAsia="Times New Roman" w:hAnsi="Times New Roman" w:cs="Times New Roman"/>
          <w:color w:val="000000"/>
          <w:lang w:eastAsia="en-GB"/>
        </w:rPr>
        <w:t>,</w:t>
      </w:r>
    </w:p>
    <w:p w14:paraId="181F3F0B" w14:textId="77777777" w:rsidR="000D241E" w:rsidRPr="006009EB" w:rsidRDefault="000D241E" w:rsidP="006009EB">
      <w:pPr>
        <w:pStyle w:val="ListParagraph"/>
        <w:numPr>
          <w:ilvl w:val="0"/>
          <w:numId w:val="17"/>
        </w:numPr>
        <w:spacing w:after="0" w:line="300" w:lineRule="exact"/>
        <w:jc w:val="both"/>
        <w:rPr>
          <w:rFonts w:ascii="Times New Roman" w:eastAsia="Times New Roman" w:hAnsi="Times New Roman" w:cs="Times New Roman"/>
          <w:lang w:eastAsia="en-GB"/>
        </w:rPr>
      </w:pPr>
      <w:r w:rsidRPr="006009EB">
        <w:rPr>
          <w:rFonts w:ascii="Times New Roman" w:eastAsia="Times New Roman" w:hAnsi="Times New Roman" w:cs="Times New Roman"/>
          <w:color w:val="000000"/>
          <w:lang w:eastAsia="en-GB"/>
        </w:rPr>
        <w:t>the use of criminal proceeds to fund gambling as a leisure activity.</w:t>
      </w:r>
    </w:p>
    <w:p w14:paraId="31CF6A97" w14:textId="77777777" w:rsidR="006009EB" w:rsidRDefault="006009EB" w:rsidP="006009EB">
      <w:pPr>
        <w:spacing w:after="0" w:line="300" w:lineRule="exact"/>
        <w:jc w:val="both"/>
        <w:rPr>
          <w:rFonts w:ascii="Times New Roman" w:eastAsia="Times New Roman" w:hAnsi="Times New Roman" w:cs="Times New Roman"/>
          <w:color w:val="000000"/>
          <w:lang w:eastAsia="en-GB"/>
        </w:rPr>
      </w:pPr>
    </w:p>
    <w:p w14:paraId="01C24B76" w14:textId="312349B5"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Money laundering is considered to be an offence by law. Money laundering covers wide ranging circumstances involving any activity concerning the proceeds of crime and includes:</w:t>
      </w:r>
    </w:p>
    <w:p w14:paraId="15D5A5C4" w14:textId="05266379" w:rsidR="000D241E" w:rsidRPr="00D03BEE" w:rsidRDefault="00D03BEE" w:rsidP="00D03BEE">
      <w:pPr>
        <w:pStyle w:val="ListParagraph"/>
        <w:numPr>
          <w:ilvl w:val="0"/>
          <w:numId w:val="18"/>
        </w:numPr>
        <w:spacing w:after="0" w:line="300" w:lineRule="exact"/>
        <w:jc w:val="both"/>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a</w:t>
      </w:r>
      <w:r w:rsidR="000D241E" w:rsidRPr="00D03BEE">
        <w:rPr>
          <w:rFonts w:ascii="Times New Roman" w:eastAsia="Times New Roman" w:hAnsi="Times New Roman" w:cs="Times New Roman"/>
          <w:color w:val="000000"/>
          <w:lang w:eastAsia="en-GB"/>
        </w:rPr>
        <w:t>ttempting to turn money acquired through criminal activity into ‘clean’ money</w:t>
      </w:r>
      <w:r>
        <w:rPr>
          <w:rFonts w:ascii="Times New Roman" w:eastAsia="Times New Roman" w:hAnsi="Times New Roman" w:cs="Times New Roman"/>
          <w:color w:val="000000"/>
          <w:lang w:eastAsia="en-GB"/>
        </w:rPr>
        <w:t>,</w:t>
      </w:r>
    </w:p>
    <w:p w14:paraId="40451703" w14:textId="2CC2D2F4" w:rsidR="000D241E" w:rsidRPr="00D03BEE" w:rsidRDefault="000D241E" w:rsidP="00D03BEE">
      <w:pPr>
        <w:pStyle w:val="ListParagraph"/>
        <w:numPr>
          <w:ilvl w:val="0"/>
          <w:numId w:val="18"/>
        </w:numPr>
        <w:spacing w:after="0" w:line="300" w:lineRule="exact"/>
        <w:jc w:val="both"/>
        <w:rPr>
          <w:rFonts w:ascii="Times New Roman" w:eastAsia="Times New Roman" w:hAnsi="Times New Roman" w:cs="Times New Roman"/>
          <w:lang w:eastAsia="en-GB"/>
        </w:rPr>
      </w:pPr>
      <w:r w:rsidRPr="00D03BEE">
        <w:rPr>
          <w:rFonts w:ascii="Times New Roman" w:eastAsia="Times New Roman" w:hAnsi="Times New Roman" w:cs="Times New Roman"/>
          <w:color w:val="000000"/>
          <w:lang w:eastAsia="en-GB"/>
        </w:rPr>
        <w:t>possessing or transferring the benefit of acquisitive crimes, such as theft and fraud</w:t>
      </w:r>
      <w:r w:rsidR="00D03BEE">
        <w:rPr>
          <w:rFonts w:ascii="Times New Roman" w:eastAsia="Times New Roman" w:hAnsi="Times New Roman" w:cs="Times New Roman"/>
          <w:color w:val="000000"/>
          <w:lang w:eastAsia="en-GB"/>
        </w:rPr>
        <w:t>,</w:t>
      </w:r>
    </w:p>
    <w:p w14:paraId="3590B185" w14:textId="4923A4BF" w:rsidR="000D241E" w:rsidRPr="00D03BEE" w:rsidRDefault="000D241E" w:rsidP="00D03BEE">
      <w:pPr>
        <w:pStyle w:val="ListParagraph"/>
        <w:numPr>
          <w:ilvl w:val="0"/>
          <w:numId w:val="18"/>
        </w:numPr>
        <w:spacing w:after="0" w:line="300" w:lineRule="exact"/>
        <w:jc w:val="both"/>
        <w:rPr>
          <w:rFonts w:ascii="Times New Roman" w:eastAsia="Times New Roman" w:hAnsi="Times New Roman" w:cs="Times New Roman"/>
          <w:lang w:eastAsia="en-GB"/>
        </w:rPr>
      </w:pPr>
      <w:r w:rsidRPr="00D03BEE">
        <w:rPr>
          <w:rFonts w:ascii="Times New Roman" w:eastAsia="Times New Roman" w:hAnsi="Times New Roman" w:cs="Times New Roman"/>
          <w:color w:val="000000"/>
          <w:lang w:eastAsia="en-GB"/>
        </w:rPr>
        <w:t>possessing/transferring stolen goods</w:t>
      </w:r>
      <w:r w:rsidR="00D03BEE">
        <w:rPr>
          <w:rFonts w:ascii="Times New Roman" w:eastAsia="Times New Roman" w:hAnsi="Times New Roman" w:cs="Times New Roman"/>
          <w:color w:val="000000"/>
          <w:lang w:eastAsia="en-GB"/>
        </w:rPr>
        <w:t>,</w:t>
      </w:r>
    </w:p>
    <w:p w14:paraId="0AF71695" w14:textId="7773FF83" w:rsidR="000D241E" w:rsidRPr="00D03BEE" w:rsidRDefault="000D241E" w:rsidP="00D03BEE">
      <w:pPr>
        <w:pStyle w:val="ListParagraph"/>
        <w:numPr>
          <w:ilvl w:val="0"/>
          <w:numId w:val="18"/>
        </w:numPr>
        <w:spacing w:after="0" w:line="300" w:lineRule="exact"/>
        <w:jc w:val="both"/>
        <w:rPr>
          <w:rFonts w:ascii="Times New Roman" w:eastAsia="Times New Roman" w:hAnsi="Times New Roman" w:cs="Times New Roman"/>
          <w:lang w:eastAsia="en-GB"/>
        </w:rPr>
      </w:pPr>
      <w:r w:rsidRPr="00D03BEE">
        <w:rPr>
          <w:rFonts w:ascii="Times New Roman" w:eastAsia="Times New Roman" w:hAnsi="Times New Roman" w:cs="Times New Roman"/>
          <w:color w:val="000000"/>
          <w:lang w:eastAsia="en-GB"/>
        </w:rPr>
        <w:t>being directly involved with any criminal or terrorist property</w:t>
      </w:r>
      <w:r w:rsidR="00D03BEE">
        <w:rPr>
          <w:rFonts w:ascii="Times New Roman" w:eastAsia="Times New Roman" w:hAnsi="Times New Roman" w:cs="Times New Roman"/>
          <w:color w:val="000000"/>
          <w:lang w:eastAsia="en-GB"/>
        </w:rPr>
        <w:t>,</w:t>
      </w:r>
    </w:p>
    <w:p w14:paraId="442A0EBF" w14:textId="499FC2EC" w:rsidR="000D241E" w:rsidRPr="002B70E5" w:rsidRDefault="000D241E" w:rsidP="00D03BEE">
      <w:pPr>
        <w:pStyle w:val="ListParagraph"/>
        <w:numPr>
          <w:ilvl w:val="0"/>
          <w:numId w:val="18"/>
        </w:numPr>
        <w:spacing w:after="0" w:line="300" w:lineRule="exact"/>
        <w:jc w:val="both"/>
        <w:rPr>
          <w:rFonts w:ascii="Times New Roman" w:eastAsia="Times New Roman" w:hAnsi="Times New Roman" w:cs="Times New Roman"/>
          <w:lang w:eastAsia="en-GB"/>
        </w:rPr>
      </w:pPr>
      <w:r w:rsidRPr="00D03BEE">
        <w:rPr>
          <w:rFonts w:ascii="Times New Roman" w:eastAsia="Times New Roman" w:hAnsi="Times New Roman" w:cs="Times New Roman"/>
          <w:color w:val="000000"/>
          <w:lang w:eastAsia="en-GB"/>
        </w:rPr>
        <w:lastRenderedPageBreak/>
        <w:t>entering into arrangements to facilitate the laundering of criminal or terrorist property</w:t>
      </w:r>
      <w:r w:rsidR="002B70E5">
        <w:rPr>
          <w:rFonts w:ascii="Times New Roman" w:eastAsia="Times New Roman" w:hAnsi="Times New Roman" w:cs="Times New Roman"/>
          <w:color w:val="000000"/>
          <w:lang w:eastAsia="en-GB"/>
        </w:rPr>
        <w:t>.</w:t>
      </w:r>
    </w:p>
    <w:p w14:paraId="0697A285" w14:textId="77777777" w:rsidR="002B70E5" w:rsidRPr="00D03BEE" w:rsidRDefault="002B70E5" w:rsidP="002B70E5">
      <w:pPr>
        <w:pStyle w:val="ListParagraph"/>
        <w:spacing w:after="0" w:line="300" w:lineRule="exact"/>
        <w:jc w:val="both"/>
        <w:rPr>
          <w:rFonts w:ascii="Times New Roman" w:eastAsia="Times New Roman" w:hAnsi="Times New Roman" w:cs="Times New Roman"/>
          <w:lang w:eastAsia="en-GB"/>
        </w:rPr>
      </w:pPr>
    </w:p>
    <w:p w14:paraId="3D5C4AA1" w14:textId="7F34739C" w:rsidR="000D241E" w:rsidRPr="002B70E5" w:rsidRDefault="000D241E" w:rsidP="00FF4455">
      <w:pPr>
        <w:numPr>
          <w:ilvl w:val="0"/>
          <w:numId w:val="1"/>
        </w:numPr>
        <w:spacing w:after="0" w:line="300" w:lineRule="exact"/>
        <w:ind w:left="360"/>
        <w:jc w:val="both"/>
        <w:textAlignment w:val="baseline"/>
        <w:outlineLvl w:val="2"/>
        <w:rPr>
          <w:rFonts w:ascii="Times New Roman" w:eastAsia="Times New Roman" w:hAnsi="Times New Roman" w:cs="Times New Roman"/>
          <w:b/>
          <w:bCs/>
          <w:color w:val="000000"/>
          <w:lang w:eastAsia="en-GB"/>
        </w:rPr>
      </w:pPr>
      <w:r w:rsidRPr="00F34F09">
        <w:rPr>
          <w:rFonts w:ascii="Times New Roman" w:eastAsia="Times New Roman" w:hAnsi="Times New Roman" w:cs="Times New Roman"/>
          <w:b/>
          <w:bCs/>
          <w:color w:val="000000"/>
          <w:lang w:eastAsia="en-GB"/>
        </w:rPr>
        <w:t>AML offences</w:t>
      </w:r>
    </w:p>
    <w:p w14:paraId="15BD2F7A" w14:textId="77777777" w:rsidR="003E5D92" w:rsidRPr="00F34F09" w:rsidRDefault="003E5D92" w:rsidP="006009EB">
      <w:pPr>
        <w:spacing w:after="0" w:line="300" w:lineRule="exact"/>
        <w:jc w:val="both"/>
        <w:outlineLvl w:val="2"/>
        <w:rPr>
          <w:rFonts w:ascii="Times New Roman" w:eastAsia="Times New Roman" w:hAnsi="Times New Roman" w:cs="Times New Roman"/>
          <w:b/>
          <w:bCs/>
          <w:lang w:eastAsia="en-GB"/>
        </w:rPr>
      </w:pPr>
    </w:p>
    <w:p w14:paraId="18A7E672" w14:textId="77777777"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Offences in relation to money laundering include:</w:t>
      </w:r>
    </w:p>
    <w:p w14:paraId="4D186611" w14:textId="77777777" w:rsidR="000D241E" w:rsidRPr="00F12726" w:rsidRDefault="000D241E" w:rsidP="00F12726">
      <w:pPr>
        <w:pStyle w:val="ListParagraph"/>
        <w:numPr>
          <w:ilvl w:val="0"/>
          <w:numId w:val="20"/>
        </w:numPr>
        <w:spacing w:after="0" w:line="300" w:lineRule="exact"/>
        <w:jc w:val="both"/>
        <w:rPr>
          <w:rFonts w:ascii="Times New Roman" w:eastAsia="Times New Roman" w:hAnsi="Times New Roman" w:cs="Times New Roman"/>
          <w:lang w:eastAsia="en-GB"/>
        </w:rPr>
      </w:pPr>
      <w:r w:rsidRPr="00F12726">
        <w:rPr>
          <w:rFonts w:ascii="Times New Roman" w:eastAsia="Times New Roman" w:hAnsi="Times New Roman" w:cs="Times New Roman"/>
          <w:color w:val="000000"/>
          <w:lang w:eastAsia="en-GB"/>
        </w:rPr>
        <w:t>concealing criminal property,</w:t>
      </w:r>
    </w:p>
    <w:p w14:paraId="3C10749D" w14:textId="77777777" w:rsidR="000D241E" w:rsidRPr="00F12726" w:rsidRDefault="000D241E" w:rsidP="00F12726">
      <w:pPr>
        <w:pStyle w:val="ListParagraph"/>
        <w:numPr>
          <w:ilvl w:val="0"/>
          <w:numId w:val="20"/>
        </w:numPr>
        <w:spacing w:after="0" w:line="300" w:lineRule="exact"/>
        <w:jc w:val="both"/>
        <w:rPr>
          <w:rFonts w:ascii="Times New Roman" w:eastAsia="Times New Roman" w:hAnsi="Times New Roman" w:cs="Times New Roman"/>
          <w:lang w:eastAsia="en-GB"/>
        </w:rPr>
      </w:pPr>
      <w:r w:rsidRPr="00F12726">
        <w:rPr>
          <w:rFonts w:ascii="Times New Roman" w:eastAsia="Times New Roman" w:hAnsi="Times New Roman" w:cs="Times New Roman"/>
          <w:color w:val="000000"/>
          <w:lang w:eastAsia="en-GB"/>
        </w:rPr>
        <w:t>disguising criminal property,</w:t>
      </w:r>
    </w:p>
    <w:p w14:paraId="5E568E17" w14:textId="77777777" w:rsidR="000D241E" w:rsidRPr="00F12726" w:rsidRDefault="000D241E" w:rsidP="00F12726">
      <w:pPr>
        <w:pStyle w:val="ListParagraph"/>
        <w:numPr>
          <w:ilvl w:val="0"/>
          <w:numId w:val="20"/>
        </w:numPr>
        <w:spacing w:after="0" w:line="300" w:lineRule="exact"/>
        <w:jc w:val="both"/>
        <w:rPr>
          <w:rFonts w:ascii="Times New Roman" w:eastAsia="Times New Roman" w:hAnsi="Times New Roman" w:cs="Times New Roman"/>
          <w:lang w:eastAsia="en-GB"/>
        </w:rPr>
      </w:pPr>
      <w:r w:rsidRPr="00F12726">
        <w:rPr>
          <w:rFonts w:ascii="Times New Roman" w:eastAsia="Times New Roman" w:hAnsi="Times New Roman" w:cs="Times New Roman"/>
          <w:color w:val="000000"/>
          <w:lang w:eastAsia="en-GB"/>
        </w:rPr>
        <w:t>converting criminal property,</w:t>
      </w:r>
    </w:p>
    <w:p w14:paraId="3995E724" w14:textId="77777777" w:rsidR="000D241E" w:rsidRPr="00F12726" w:rsidRDefault="000D241E" w:rsidP="00F12726">
      <w:pPr>
        <w:pStyle w:val="ListParagraph"/>
        <w:numPr>
          <w:ilvl w:val="0"/>
          <w:numId w:val="20"/>
        </w:numPr>
        <w:spacing w:after="0" w:line="300" w:lineRule="exact"/>
        <w:jc w:val="both"/>
        <w:rPr>
          <w:rFonts w:ascii="Times New Roman" w:eastAsia="Times New Roman" w:hAnsi="Times New Roman" w:cs="Times New Roman"/>
          <w:lang w:eastAsia="en-GB"/>
        </w:rPr>
      </w:pPr>
      <w:r w:rsidRPr="00F12726">
        <w:rPr>
          <w:rFonts w:ascii="Times New Roman" w:eastAsia="Times New Roman" w:hAnsi="Times New Roman" w:cs="Times New Roman"/>
          <w:color w:val="000000"/>
          <w:lang w:eastAsia="en-GB"/>
        </w:rPr>
        <w:t>transferring criminal property,</w:t>
      </w:r>
    </w:p>
    <w:p w14:paraId="46D1214D" w14:textId="77777777" w:rsidR="000D241E" w:rsidRPr="00F12726" w:rsidRDefault="000D241E" w:rsidP="00F12726">
      <w:pPr>
        <w:pStyle w:val="ListParagraph"/>
        <w:numPr>
          <w:ilvl w:val="0"/>
          <w:numId w:val="20"/>
        </w:numPr>
        <w:spacing w:after="0" w:line="300" w:lineRule="exact"/>
        <w:jc w:val="both"/>
        <w:rPr>
          <w:rFonts w:ascii="Times New Roman" w:eastAsia="Times New Roman" w:hAnsi="Times New Roman" w:cs="Times New Roman"/>
          <w:lang w:eastAsia="en-GB"/>
        </w:rPr>
      </w:pPr>
      <w:r w:rsidRPr="00F12726">
        <w:rPr>
          <w:rFonts w:ascii="Times New Roman" w:eastAsia="Times New Roman" w:hAnsi="Times New Roman" w:cs="Times New Roman"/>
          <w:color w:val="000000"/>
          <w:lang w:eastAsia="en-GB"/>
        </w:rPr>
        <w:t>removing criminal property;</w:t>
      </w:r>
    </w:p>
    <w:p w14:paraId="5FF75CEA" w14:textId="599ADF2C" w:rsidR="000D241E" w:rsidRPr="00F12726" w:rsidRDefault="000D241E" w:rsidP="00F12726">
      <w:pPr>
        <w:pStyle w:val="ListParagraph"/>
        <w:numPr>
          <w:ilvl w:val="0"/>
          <w:numId w:val="20"/>
        </w:numPr>
        <w:spacing w:after="0" w:line="300" w:lineRule="exact"/>
        <w:jc w:val="both"/>
        <w:rPr>
          <w:rFonts w:ascii="Times New Roman" w:eastAsia="Times New Roman" w:hAnsi="Times New Roman" w:cs="Times New Roman"/>
          <w:lang w:eastAsia="en-GB"/>
        </w:rPr>
      </w:pPr>
      <w:r w:rsidRPr="00F12726">
        <w:rPr>
          <w:rFonts w:ascii="Times New Roman" w:eastAsia="Times New Roman" w:hAnsi="Times New Roman" w:cs="Times New Roman"/>
          <w:color w:val="000000"/>
          <w:lang w:eastAsia="en-GB"/>
        </w:rPr>
        <w:t>offences of failing to report suspected money laundering</w:t>
      </w:r>
      <w:r w:rsidR="00C944F9">
        <w:rPr>
          <w:rFonts w:ascii="Times New Roman" w:eastAsia="Times New Roman" w:hAnsi="Times New Roman" w:cs="Times New Roman"/>
          <w:color w:val="000000"/>
          <w:lang w:eastAsia="en-GB"/>
        </w:rPr>
        <w:t>,</w:t>
      </w:r>
    </w:p>
    <w:p w14:paraId="2FB463F6" w14:textId="257079C5" w:rsidR="000D241E" w:rsidRPr="00F12726" w:rsidRDefault="000D241E" w:rsidP="00F12726">
      <w:pPr>
        <w:pStyle w:val="ListParagraph"/>
        <w:numPr>
          <w:ilvl w:val="0"/>
          <w:numId w:val="20"/>
        </w:numPr>
        <w:spacing w:after="0" w:line="300" w:lineRule="exact"/>
        <w:jc w:val="both"/>
        <w:rPr>
          <w:rFonts w:ascii="Times New Roman" w:eastAsia="Times New Roman" w:hAnsi="Times New Roman" w:cs="Times New Roman"/>
          <w:lang w:eastAsia="en-GB"/>
        </w:rPr>
      </w:pPr>
      <w:r w:rsidRPr="00F12726">
        <w:rPr>
          <w:rFonts w:ascii="Times New Roman" w:eastAsia="Times New Roman" w:hAnsi="Times New Roman" w:cs="Times New Roman"/>
          <w:color w:val="000000"/>
          <w:lang w:eastAsia="en-GB"/>
        </w:rPr>
        <w:t>offences of tipping off about a money laundering disclosure, tipping off about a money laundering investigation and prejudicing money laundering investigations</w:t>
      </w:r>
      <w:r w:rsidR="00C944F9">
        <w:rPr>
          <w:rFonts w:ascii="Times New Roman" w:eastAsia="Times New Roman" w:hAnsi="Times New Roman" w:cs="Times New Roman"/>
          <w:color w:val="000000"/>
          <w:lang w:eastAsia="en-GB"/>
        </w:rPr>
        <w:t>,</w:t>
      </w:r>
    </w:p>
    <w:p w14:paraId="366B9DDF" w14:textId="66FC4BC9" w:rsidR="000D241E" w:rsidRPr="00F12726" w:rsidRDefault="000D241E" w:rsidP="00F12726">
      <w:pPr>
        <w:pStyle w:val="ListParagraph"/>
        <w:numPr>
          <w:ilvl w:val="0"/>
          <w:numId w:val="20"/>
        </w:numPr>
        <w:spacing w:after="0" w:line="300" w:lineRule="exact"/>
        <w:jc w:val="both"/>
        <w:rPr>
          <w:rFonts w:ascii="Times New Roman" w:eastAsia="Times New Roman" w:hAnsi="Times New Roman" w:cs="Times New Roman"/>
          <w:lang w:eastAsia="en-GB"/>
        </w:rPr>
      </w:pPr>
      <w:r w:rsidRPr="00F12726">
        <w:rPr>
          <w:rFonts w:ascii="Times New Roman" w:eastAsia="Times New Roman" w:hAnsi="Times New Roman" w:cs="Times New Roman"/>
          <w:color w:val="000000"/>
          <w:lang w:eastAsia="en-GB"/>
        </w:rPr>
        <w:t>acquiring, using or possessing criminal property</w:t>
      </w:r>
      <w:r w:rsidR="00C944F9">
        <w:rPr>
          <w:rFonts w:ascii="Times New Roman" w:eastAsia="Times New Roman" w:hAnsi="Times New Roman" w:cs="Times New Roman"/>
          <w:color w:val="000000"/>
          <w:lang w:eastAsia="en-GB"/>
        </w:rPr>
        <w:t>,</w:t>
      </w:r>
    </w:p>
    <w:p w14:paraId="5994551E" w14:textId="77F45A53" w:rsidR="000D241E" w:rsidRPr="00F12726" w:rsidRDefault="000D241E" w:rsidP="00F12726">
      <w:pPr>
        <w:pStyle w:val="ListParagraph"/>
        <w:numPr>
          <w:ilvl w:val="0"/>
          <w:numId w:val="20"/>
        </w:numPr>
        <w:spacing w:after="0" w:line="300" w:lineRule="exact"/>
        <w:jc w:val="both"/>
        <w:rPr>
          <w:rFonts w:ascii="Times New Roman" w:eastAsia="Times New Roman" w:hAnsi="Times New Roman" w:cs="Times New Roman"/>
          <w:lang w:eastAsia="en-GB"/>
        </w:rPr>
      </w:pPr>
      <w:r w:rsidRPr="00F12726">
        <w:rPr>
          <w:rFonts w:ascii="Times New Roman" w:eastAsia="Times New Roman" w:hAnsi="Times New Roman" w:cs="Times New Roman"/>
          <w:color w:val="000000"/>
          <w:lang w:eastAsia="en-GB"/>
        </w:rPr>
        <w:t>entering into or becoming concerned in an arrangement which the person knows or suspects facilitates the acquisition, retention, use or control of criminal property</w:t>
      </w:r>
      <w:r w:rsidR="00C944F9">
        <w:rPr>
          <w:rFonts w:ascii="Times New Roman" w:eastAsia="Times New Roman" w:hAnsi="Times New Roman" w:cs="Times New Roman"/>
          <w:color w:val="000000"/>
          <w:lang w:eastAsia="en-GB"/>
        </w:rPr>
        <w:t>,</w:t>
      </w:r>
    </w:p>
    <w:p w14:paraId="2A924953" w14:textId="77777777" w:rsidR="000D241E" w:rsidRPr="00F12726" w:rsidRDefault="000D241E" w:rsidP="00F12726">
      <w:pPr>
        <w:pStyle w:val="ListParagraph"/>
        <w:numPr>
          <w:ilvl w:val="0"/>
          <w:numId w:val="20"/>
        </w:numPr>
        <w:spacing w:after="0" w:line="300" w:lineRule="exact"/>
        <w:jc w:val="both"/>
        <w:rPr>
          <w:rFonts w:ascii="Times New Roman" w:eastAsia="Times New Roman" w:hAnsi="Times New Roman" w:cs="Times New Roman"/>
          <w:lang w:eastAsia="en-GB"/>
        </w:rPr>
      </w:pPr>
      <w:r w:rsidRPr="00F12726">
        <w:rPr>
          <w:rFonts w:ascii="Times New Roman" w:eastAsia="Times New Roman" w:hAnsi="Times New Roman" w:cs="Times New Roman"/>
          <w:color w:val="000000"/>
          <w:lang w:eastAsia="en-GB"/>
        </w:rPr>
        <w:t>tipping off a person that a report has been made. </w:t>
      </w:r>
    </w:p>
    <w:p w14:paraId="4913BE6F"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157D7487" w14:textId="717C1A76"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 xml:space="preserve">Traditional </w:t>
      </w:r>
      <w:r w:rsidR="00C944F9">
        <w:rPr>
          <w:rFonts w:ascii="Times New Roman" w:eastAsia="Times New Roman" w:hAnsi="Times New Roman" w:cs="Times New Roman"/>
          <w:color w:val="000000"/>
          <w:lang w:eastAsia="en-GB"/>
        </w:rPr>
        <w:t>m</w:t>
      </w:r>
      <w:r w:rsidRPr="00F34F09">
        <w:rPr>
          <w:rFonts w:ascii="Times New Roman" w:eastAsia="Times New Roman" w:hAnsi="Times New Roman" w:cs="Times New Roman"/>
          <w:color w:val="000000"/>
          <w:lang w:eastAsia="en-GB"/>
        </w:rPr>
        <w:t xml:space="preserve">oney </w:t>
      </w:r>
      <w:r w:rsidR="00C944F9">
        <w:rPr>
          <w:rFonts w:ascii="Times New Roman" w:eastAsia="Times New Roman" w:hAnsi="Times New Roman" w:cs="Times New Roman"/>
          <w:color w:val="000000"/>
          <w:lang w:eastAsia="en-GB"/>
        </w:rPr>
        <w:t>l</w:t>
      </w:r>
      <w:r w:rsidRPr="00F34F09">
        <w:rPr>
          <w:rFonts w:ascii="Times New Roman" w:eastAsia="Times New Roman" w:hAnsi="Times New Roman" w:cs="Times New Roman"/>
          <w:color w:val="000000"/>
          <w:lang w:eastAsia="en-GB"/>
        </w:rPr>
        <w:t xml:space="preserve">aundering and terrorist financing </w:t>
      </w:r>
      <w:r w:rsidR="00206418">
        <w:rPr>
          <w:rFonts w:ascii="Times New Roman" w:eastAsia="Times New Roman" w:hAnsi="Times New Roman" w:cs="Times New Roman"/>
          <w:color w:val="000000"/>
          <w:lang w:eastAsia="en-GB"/>
        </w:rPr>
        <w:t>m</w:t>
      </w:r>
      <w:r w:rsidRPr="00F34F09">
        <w:rPr>
          <w:rFonts w:ascii="Times New Roman" w:eastAsia="Times New Roman" w:hAnsi="Times New Roman" w:cs="Times New Roman"/>
          <w:color w:val="000000"/>
          <w:lang w:eastAsia="en-GB"/>
        </w:rPr>
        <w:t>ethods:</w:t>
      </w:r>
    </w:p>
    <w:p w14:paraId="67BF79BF" w14:textId="45C198C4" w:rsidR="000D241E" w:rsidRPr="00257F5C" w:rsidRDefault="00257F5C" w:rsidP="00257F5C">
      <w:pPr>
        <w:pStyle w:val="ListParagraph"/>
        <w:numPr>
          <w:ilvl w:val="0"/>
          <w:numId w:val="21"/>
        </w:numPr>
        <w:spacing w:after="0" w:line="300" w:lineRule="exact"/>
        <w:jc w:val="both"/>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w</w:t>
      </w:r>
      <w:r w:rsidR="000D241E" w:rsidRPr="00257F5C">
        <w:rPr>
          <w:rFonts w:ascii="Times New Roman" w:eastAsia="Times New Roman" w:hAnsi="Times New Roman" w:cs="Times New Roman"/>
          <w:color w:val="000000"/>
          <w:lang w:eastAsia="en-GB"/>
        </w:rPr>
        <w:t>innings or unused funds withdrawn to an account other than the one from which the original deposit was made</w:t>
      </w:r>
      <w:r>
        <w:rPr>
          <w:rFonts w:ascii="Times New Roman" w:eastAsia="Times New Roman" w:hAnsi="Times New Roman" w:cs="Times New Roman"/>
          <w:color w:val="000000"/>
          <w:lang w:eastAsia="en-GB"/>
        </w:rPr>
        <w:t>;</w:t>
      </w:r>
    </w:p>
    <w:p w14:paraId="37AE9185" w14:textId="2F0E6595" w:rsidR="000D241E" w:rsidRPr="00257F5C" w:rsidRDefault="00257F5C" w:rsidP="00257F5C">
      <w:pPr>
        <w:pStyle w:val="ListParagraph"/>
        <w:numPr>
          <w:ilvl w:val="0"/>
          <w:numId w:val="21"/>
        </w:numPr>
        <w:spacing w:after="0" w:line="300" w:lineRule="exact"/>
        <w:jc w:val="both"/>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m</w:t>
      </w:r>
      <w:r w:rsidR="000D241E" w:rsidRPr="00257F5C">
        <w:rPr>
          <w:rFonts w:ascii="Times New Roman" w:eastAsia="Times New Roman" w:hAnsi="Times New Roman" w:cs="Times New Roman"/>
          <w:color w:val="000000"/>
          <w:lang w:eastAsia="en-GB"/>
        </w:rPr>
        <w:t>anipulation of financial intermediaries</w:t>
      </w:r>
      <w:r>
        <w:rPr>
          <w:rFonts w:ascii="Times New Roman" w:eastAsia="Times New Roman" w:hAnsi="Times New Roman" w:cs="Times New Roman"/>
          <w:color w:val="000000"/>
          <w:lang w:eastAsia="en-GB"/>
        </w:rPr>
        <w:t>;</w:t>
      </w:r>
    </w:p>
    <w:p w14:paraId="3F115BD4" w14:textId="565BCF75" w:rsidR="000D241E" w:rsidRPr="00257F5C" w:rsidRDefault="00257F5C" w:rsidP="00257F5C">
      <w:pPr>
        <w:pStyle w:val="ListParagraph"/>
        <w:numPr>
          <w:ilvl w:val="0"/>
          <w:numId w:val="21"/>
        </w:numPr>
        <w:spacing w:after="0" w:line="300" w:lineRule="exact"/>
        <w:jc w:val="both"/>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a</w:t>
      </w:r>
      <w:r w:rsidR="000D241E" w:rsidRPr="00257F5C">
        <w:rPr>
          <w:rFonts w:ascii="Times New Roman" w:eastAsia="Times New Roman" w:hAnsi="Times New Roman" w:cs="Times New Roman"/>
          <w:color w:val="000000"/>
          <w:lang w:eastAsia="en-GB"/>
        </w:rPr>
        <w:t>ccount hijacking or hacking (account takeover)</w:t>
      </w:r>
      <w:r>
        <w:rPr>
          <w:rFonts w:ascii="Times New Roman" w:eastAsia="Times New Roman" w:hAnsi="Times New Roman" w:cs="Times New Roman"/>
          <w:color w:val="000000"/>
          <w:lang w:eastAsia="en-GB"/>
        </w:rPr>
        <w:t>;</w:t>
      </w:r>
    </w:p>
    <w:p w14:paraId="17FCBCEB" w14:textId="7FAC1639" w:rsidR="000D241E" w:rsidRPr="00257F5C" w:rsidRDefault="000D241E" w:rsidP="00257F5C">
      <w:pPr>
        <w:pStyle w:val="ListParagraph"/>
        <w:numPr>
          <w:ilvl w:val="0"/>
          <w:numId w:val="21"/>
        </w:numPr>
        <w:spacing w:after="0" w:line="300" w:lineRule="exact"/>
        <w:jc w:val="both"/>
        <w:rPr>
          <w:rFonts w:ascii="Times New Roman" w:eastAsia="Times New Roman" w:hAnsi="Times New Roman" w:cs="Times New Roman"/>
          <w:lang w:eastAsia="en-GB"/>
        </w:rPr>
      </w:pPr>
      <w:r w:rsidRPr="00257F5C">
        <w:rPr>
          <w:rFonts w:ascii="Times New Roman" w:eastAsia="Times New Roman" w:hAnsi="Times New Roman" w:cs="Times New Roman"/>
          <w:color w:val="000000"/>
          <w:lang w:eastAsia="en-GB"/>
        </w:rPr>
        <w:t>legal and illegal betting (match fixing)</w:t>
      </w:r>
      <w:r w:rsidR="00257F5C">
        <w:rPr>
          <w:rFonts w:ascii="Times New Roman" w:eastAsia="Times New Roman" w:hAnsi="Times New Roman" w:cs="Times New Roman"/>
          <w:color w:val="000000"/>
          <w:lang w:eastAsia="en-GB"/>
        </w:rPr>
        <w:t>;</w:t>
      </w:r>
    </w:p>
    <w:p w14:paraId="55E8423C" w14:textId="56FCF9DC" w:rsidR="000D241E" w:rsidRPr="00257F5C" w:rsidRDefault="00257F5C" w:rsidP="00257F5C">
      <w:pPr>
        <w:pStyle w:val="ListParagraph"/>
        <w:numPr>
          <w:ilvl w:val="0"/>
          <w:numId w:val="21"/>
        </w:numPr>
        <w:spacing w:after="0" w:line="300" w:lineRule="exact"/>
        <w:jc w:val="both"/>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h</w:t>
      </w:r>
      <w:r w:rsidR="000D241E" w:rsidRPr="00257F5C">
        <w:rPr>
          <w:rFonts w:ascii="Times New Roman" w:eastAsia="Times New Roman" w:hAnsi="Times New Roman" w:cs="Times New Roman"/>
          <w:color w:val="000000"/>
          <w:lang w:eastAsia="en-GB"/>
        </w:rPr>
        <w:t>olding accounts (holding illegitimate funds in accounts without intention to bet or stake)</w:t>
      </w:r>
      <w:r>
        <w:rPr>
          <w:rFonts w:ascii="Times New Roman" w:eastAsia="Times New Roman" w:hAnsi="Times New Roman" w:cs="Times New Roman"/>
          <w:color w:val="000000"/>
          <w:lang w:eastAsia="en-GB"/>
        </w:rPr>
        <w:t>;</w:t>
      </w:r>
    </w:p>
    <w:p w14:paraId="4A41E0D9" w14:textId="01E4E8BF" w:rsidR="000D241E" w:rsidRPr="00257F5C" w:rsidRDefault="00257F5C" w:rsidP="00257F5C">
      <w:pPr>
        <w:pStyle w:val="ListParagraph"/>
        <w:numPr>
          <w:ilvl w:val="0"/>
          <w:numId w:val="21"/>
        </w:numPr>
        <w:spacing w:after="0" w:line="300" w:lineRule="exact"/>
        <w:jc w:val="both"/>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p</w:t>
      </w:r>
      <w:r w:rsidR="000D241E" w:rsidRPr="00257F5C">
        <w:rPr>
          <w:rFonts w:ascii="Times New Roman" w:eastAsia="Times New Roman" w:hAnsi="Times New Roman" w:cs="Times New Roman"/>
          <w:color w:val="000000"/>
          <w:lang w:eastAsia="en-GB"/>
        </w:rPr>
        <w:t>eer to peer games collusion (the agreement between two or more parties to bet and play in pre - determined pattern unbeknown to the operator and / or other participants. </w:t>
      </w:r>
    </w:p>
    <w:p w14:paraId="5C5BB1A2"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44BA74A9" w14:textId="420A46D6" w:rsidR="000D241E" w:rsidRPr="00FF4455" w:rsidRDefault="000D241E" w:rsidP="00FF4455">
      <w:pPr>
        <w:numPr>
          <w:ilvl w:val="0"/>
          <w:numId w:val="1"/>
        </w:numPr>
        <w:spacing w:after="0" w:line="300" w:lineRule="exact"/>
        <w:ind w:left="360"/>
        <w:jc w:val="both"/>
        <w:textAlignment w:val="baseline"/>
        <w:outlineLvl w:val="2"/>
        <w:rPr>
          <w:rFonts w:ascii="Times New Roman" w:hAnsi="Times New Roman"/>
          <w:b/>
          <w:color w:val="000000"/>
        </w:rPr>
      </w:pPr>
      <w:r w:rsidRPr="00257F5C">
        <w:rPr>
          <w:rFonts w:ascii="Times New Roman" w:eastAsia="Times New Roman" w:hAnsi="Times New Roman" w:cs="Times New Roman"/>
          <w:b/>
          <w:bCs/>
          <w:color w:val="000000"/>
          <w:lang w:eastAsia="en-GB"/>
        </w:rPr>
        <w:t>Organisation and Personal Ri</w:t>
      </w:r>
      <w:r w:rsidR="00A921BF" w:rsidRPr="00257F5C">
        <w:rPr>
          <w:rFonts w:ascii="Times New Roman" w:eastAsia="Times New Roman" w:hAnsi="Times New Roman" w:cs="Times New Roman"/>
          <w:b/>
          <w:bCs/>
          <w:color w:val="000000"/>
          <w:lang w:eastAsia="en-GB"/>
        </w:rPr>
        <w:t>sk</w:t>
      </w:r>
    </w:p>
    <w:p w14:paraId="401A44F2"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4AD3D1AE" w14:textId="20421EC6"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 xml:space="preserve">Money </w:t>
      </w:r>
      <w:r w:rsidR="00206418">
        <w:rPr>
          <w:rFonts w:ascii="Times New Roman" w:eastAsia="Times New Roman" w:hAnsi="Times New Roman" w:cs="Times New Roman"/>
          <w:color w:val="000000"/>
          <w:lang w:eastAsia="en-GB"/>
        </w:rPr>
        <w:t>l</w:t>
      </w:r>
      <w:r w:rsidRPr="00F34F09">
        <w:rPr>
          <w:rFonts w:ascii="Times New Roman" w:eastAsia="Times New Roman" w:hAnsi="Times New Roman" w:cs="Times New Roman"/>
          <w:color w:val="000000"/>
          <w:lang w:eastAsia="en-GB"/>
        </w:rPr>
        <w:t xml:space="preserve">aundering and </w:t>
      </w:r>
      <w:r w:rsidR="00206418">
        <w:rPr>
          <w:rFonts w:ascii="Times New Roman" w:eastAsia="Times New Roman" w:hAnsi="Times New Roman" w:cs="Times New Roman"/>
          <w:color w:val="000000"/>
          <w:lang w:eastAsia="en-GB"/>
        </w:rPr>
        <w:t>t</w:t>
      </w:r>
      <w:r w:rsidRPr="00F34F09">
        <w:rPr>
          <w:rFonts w:ascii="Times New Roman" w:eastAsia="Times New Roman" w:hAnsi="Times New Roman" w:cs="Times New Roman"/>
          <w:color w:val="000000"/>
          <w:lang w:eastAsia="en-GB"/>
        </w:rPr>
        <w:t xml:space="preserve">errorist </w:t>
      </w:r>
      <w:r w:rsidR="00206418">
        <w:rPr>
          <w:rFonts w:ascii="Times New Roman" w:eastAsia="Times New Roman" w:hAnsi="Times New Roman" w:cs="Times New Roman"/>
          <w:color w:val="000000"/>
          <w:lang w:eastAsia="en-GB"/>
        </w:rPr>
        <w:t>f</w:t>
      </w:r>
      <w:r w:rsidRPr="00F34F09">
        <w:rPr>
          <w:rFonts w:ascii="Times New Roman" w:eastAsia="Times New Roman" w:hAnsi="Times New Roman" w:cs="Times New Roman"/>
          <w:color w:val="000000"/>
          <w:lang w:eastAsia="en-GB"/>
        </w:rPr>
        <w:t>inancing carry a wi</w:t>
      </w:r>
      <w:r w:rsidR="00A921BF" w:rsidRPr="00F34F09">
        <w:rPr>
          <w:rFonts w:ascii="Times New Roman" w:eastAsia="Times New Roman" w:hAnsi="Times New Roman" w:cs="Times New Roman"/>
          <w:color w:val="000000"/>
          <w:lang w:eastAsia="en-GB"/>
        </w:rPr>
        <w:t>d</w:t>
      </w:r>
      <w:r w:rsidRPr="00F34F09">
        <w:rPr>
          <w:rFonts w:ascii="Times New Roman" w:eastAsia="Times New Roman" w:hAnsi="Times New Roman" w:cs="Times New Roman"/>
          <w:color w:val="000000"/>
          <w:lang w:eastAsia="en-GB"/>
        </w:rPr>
        <w:t xml:space="preserve">e array of risk where on organisation or employee is seen to be complaint or </w:t>
      </w:r>
      <w:r w:rsidR="00AE35B0">
        <w:rPr>
          <w:rFonts w:ascii="Times New Roman" w:eastAsia="Times New Roman" w:hAnsi="Times New Roman" w:cs="Times New Roman"/>
          <w:color w:val="000000"/>
          <w:lang w:eastAsia="en-GB"/>
        </w:rPr>
        <w:t>negligent, t</w:t>
      </w:r>
      <w:r w:rsidRPr="00F34F09">
        <w:rPr>
          <w:rFonts w:ascii="Times New Roman" w:eastAsia="Times New Roman" w:hAnsi="Times New Roman" w:cs="Times New Roman"/>
          <w:color w:val="000000"/>
          <w:lang w:eastAsia="en-GB"/>
        </w:rPr>
        <w:t>he risk are interdependent:</w:t>
      </w:r>
    </w:p>
    <w:p w14:paraId="3B1FCAEA"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4DB85085" w14:textId="77777777" w:rsidR="000D241E" w:rsidRPr="00AE35B0" w:rsidRDefault="000D241E" w:rsidP="006009EB">
      <w:pPr>
        <w:spacing w:after="0" w:line="300" w:lineRule="exact"/>
        <w:jc w:val="both"/>
        <w:rPr>
          <w:rFonts w:ascii="Times New Roman" w:eastAsia="Times New Roman" w:hAnsi="Times New Roman" w:cs="Times New Roman"/>
          <w:i/>
          <w:iCs/>
          <w:lang w:eastAsia="en-GB"/>
        </w:rPr>
      </w:pPr>
      <w:r w:rsidRPr="00AE35B0">
        <w:rPr>
          <w:rFonts w:ascii="Times New Roman" w:eastAsia="Times New Roman" w:hAnsi="Times New Roman" w:cs="Times New Roman"/>
          <w:i/>
          <w:iCs/>
          <w:color w:val="000000"/>
          <w:lang w:eastAsia="en-GB"/>
        </w:rPr>
        <w:t>Financial Risk:</w:t>
      </w:r>
    </w:p>
    <w:p w14:paraId="32F5CC2B" w14:textId="23A35ECF" w:rsidR="000D241E" w:rsidRPr="00AE35B0" w:rsidRDefault="00206418" w:rsidP="00AE35B0">
      <w:pPr>
        <w:pStyle w:val="ListParagraph"/>
        <w:numPr>
          <w:ilvl w:val="0"/>
          <w:numId w:val="22"/>
        </w:numPr>
        <w:spacing w:after="0" w:line="300" w:lineRule="exact"/>
        <w:jc w:val="both"/>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f</w:t>
      </w:r>
      <w:r w:rsidR="000D241E" w:rsidRPr="00AE35B0">
        <w:rPr>
          <w:rFonts w:ascii="Times New Roman" w:eastAsia="Times New Roman" w:hAnsi="Times New Roman" w:cs="Times New Roman"/>
          <w:color w:val="000000"/>
          <w:lang w:eastAsia="en-GB"/>
        </w:rPr>
        <w:t>ines from criminal convictions</w:t>
      </w:r>
      <w:r>
        <w:rPr>
          <w:rFonts w:ascii="Times New Roman" w:eastAsia="Times New Roman" w:hAnsi="Times New Roman" w:cs="Times New Roman"/>
          <w:color w:val="000000"/>
          <w:lang w:eastAsia="en-GB"/>
        </w:rPr>
        <w:t>;</w:t>
      </w:r>
    </w:p>
    <w:p w14:paraId="1AA65CE6" w14:textId="4D78EC9C" w:rsidR="000D241E" w:rsidRPr="00AE35B0" w:rsidRDefault="00206418" w:rsidP="00AE35B0">
      <w:pPr>
        <w:pStyle w:val="ListParagraph"/>
        <w:numPr>
          <w:ilvl w:val="0"/>
          <w:numId w:val="22"/>
        </w:numPr>
        <w:spacing w:after="0" w:line="300" w:lineRule="exact"/>
        <w:jc w:val="both"/>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f</w:t>
      </w:r>
      <w:r w:rsidR="000D241E" w:rsidRPr="00AE35B0">
        <w:rPr>
          <w:rFonts w:ascii="Times New Roman" w:eastAsia="Times New Roman" w:hAnsi="Times New Roman" w:cs="Times New Roman"/>
          <w:color w:val="000000"/>
          <w:lang w:eastAsia="en-GB"/>
        </w:rPr>
        <w:t>ines from the regulator</w:t>
      </w:r>
      <w:r>
        <w:rPr>
          <w:rFonts w:ascii="Times New Roman" w:eastAsia="Times New Roman" w:hAnsi="Times New Roman" w:cs="Times New Roman"/>
          <w:color w:val="000000"/>
          <w:lang w:eastAsia="en-GB"/>
        </w:rPr>
        <w:t>;</w:t>
      </w:r>
    </w:p>
    <w:p w14:paraId="7B469DC5" w14:textId="331A0C77" w:rsidR="000D241E" w:rsidRPr="00AE35B0" w:rsidRDefault="00206418" w:rsidP="00AE35B0">
      <w:pPr>
        <w:pStyle w:val="ListParagraph"/>
        <w:numPr>
          <w:ilvl w:val="0"/>
          <w:numId w:val="22"/>
        </w:numPr>
        <w:spacing w:after="0" w:line="300" w:lineRule="exact"/>
        <w:jc w:val="both"/>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l</w:t>
      </w:r>
      <w:r w:rsidR="000D241E" w:rsidRPr="00AE35B0">
        <w:rPr>
          <w:rFonts w:ascii="Times New Roman" w:eastAsia="Times New Roman" w:hAnsi="Times New Roman" w:cs="Times New Roman"/>
          <w:color w:val="000000"/>
          <w:lang w:eastAsia="en-GB"/>
        </w:rPr>
        <w:t>oss of position within the organisation due to misconduct</w:t>
      </w:r>
      <w:r>
        <w:rPr>
          <w:rFonts w:ascii="Times New Roman" w:eastAsia="Times New Roman" w:hAnsi="Times New Roman" w:cs="Times New Roman"/>
          <w:color w:val="000000"/>
          <w:lang w:eastAsia="en-GB"/>
        </w:rPr>
        <w:t>;</w:t>
      </w:r>
    </w:p>
    <w:p w14:paraId="5F1F93F0" w14:textId="095D0B5F" w:rsidR="000D241E" w:rsidRPr="00AE35B0" w:rsidRDefault="00206418" w:rsidP="00AE35B0">
      <w:pPr>
        <w:pStyle w:val="ListParagraph"/>
        <w:numPr>
          <w:ilvl w:val="0"/>
          <w:numId w:val="22"/>
        </w:numPr>
        <w:spacing w:after="0" w:line="300" w:lineRule="exact"/>
        <w:jc w:val="both"/>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l</w:t>
      </w:r>
      <w:r w:rsidR="000D241E" w:rsidRPr="00AE35B0">
        <w:rPr>
          <w:rFonts w:ascii="Times New Roman" w:eastAsia="Times New Roman" w:hAnsi="Times New Roman" w:cs="Times New Roman"/>
          <w:color w:val="000000"/>
          <w:lang w:eastAsia="en-GB"/>
        </w:rPr>
        <w:t>oss of business due to proceeding against the organisation</w:t>
      </w:r>
      <w:r>
        <w:rPr>
          <w:rFonts w:ascii="Times New Roman" w:eastAsia="Times New Roman" w:hAnsi="Times New Roman" w:cs="Times New Roman"/>
          <w:color w:val="000000"/>
          <w:lang w:eastAsia="en-GB"/>
        </w:rPr>
        <w:t>.</w:t>
      </w:r>
    </w:p>
    <w:p w14:paraId="597B4450"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68F8A101" w14:textId="77777777" w:rsidR="000D241E" w:rsidRPr="00AE35B0" w:rsidRDefault="000D241E" w:rsidP="006009EB">
      <w:pPr>
        <w:spacing w:after="0" w:line="300" w:lineRule="exact"/>
        <w:jc w:val="both"/>
        <w:rPr>
          <w:rFonts w:ascii="Times New Roman" w:eastAsia="Times New Roman" w:hAnsi="Times New Roman" w:cs="Times New Roman"/>
          <w:i/>
          <w:iCs/>
          <w:lang w:eastAsia="en-GB"/>
        </w:rPr>
      </w:pPr>
      <w:r w:rsidRPr="00AE35B0">
        <w:rPr>
          <w:rFonts w:ascii="Times New Roman" w:eastAsia="Times New Roman" w:hAnsi="Times New Roman" w:cs="Times New Roman"/>
          <w:i/>
          <w:iCs/>
          <w:color w:val="000000"/>
          <w:lang w:eastAsia="en-GB"/>
        </w:rPr>
        <w:t>Regulatory Risk</w:t>
      </w:r>
    </w:p>
    <w:p w14:paraId="25458B71" w14:textId="518A02B1" w:rsidR="000D241E" w:rsidRPr="00AE35B0" w:rsidRDefault="00206418" w:rsidP="00AE35B0">
      <w:pPr>
        <w:pStyle w:val="ListParagraph"/>
        <w:numPr>
          <w:ilvl w:val="0"/>
          <w:numId w:val="23"/>
        </w:numPr>
        <w:spacing w:after="0" w:line="300" w:lineRule="exact"/>
        <w:jc w:val="both"/>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t</w:t>
      </w:r>
      <w:r w:rsidR="000D241E" w:rsidRPr="00AE35B0">
        <w:rPr>
          <w:rFonts w:ascii="Times New Roman" w:eastAsia="Times New Roman" w:hAnsi="Times New Roman" w:cs="Times New Roman"/>
          <w:color w:val="000000"/>
          <w:lang w:eastAsia="en-GB"/>
        </w:rPr>
        <w:t>he organisations’  regulatory status being regarded as at risk</w:t>
      </w:r>
      <w:r>
        <w:rPr>
          <w:rFonts w:ascii="Times New Roman" w:eastAsia="Times New Roman" w:hAnsi="Times New Roman" w:cs="Times New Roman"/>
          <w:color w:val="000000"/>
          <w:lang w:eastAsia="en-GB"/>
        </w:rPr>
        <w:t>;</w:t>
      </w:r>
    </w:p>
    <w:p w14:paraId="78032CFD" w14:textId="3AABC3C3" w:rsidR="000D241E" w:rsidRPr="00AE35B0" w:rsidRDefault="00206418" w:rsidP="00AE35B0">
      <w:pPr>
        <w:pStyle w:val="ListParagraph"/>
        <w:numPr>
          <w:ilvl w:val="0"/>
          <w:numId w:val="23"/>
        </w:numPr>
        <w:spacing w:after="0" w:line="300" w:lineRule="exact"/>
        <w:jc w:val="both"/>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l</w:t>
      </w:r>
      <w:r w:rsidR="000D241E" w:rsidRPr="00AE35B0">
        <w:rPr>
          <w:rFonts w:ascii="Times New Roman" w:eastAsia="Times New Roman" w:hAnsi="Times New Roman" w:cs="Times New Roman"/>
          <w:color w:val="000000"/>
          <w:lang w:eastAsia="en-GB"/>
        </w:rPr>
        <w:t>oss of licence</w:t>
      </w:r>
      <w:r>
        <w:rPr>
          <w:rFonts w:ascii="Times New Roman" w:eastAsia="Times New Roman" w:hAnsi="Times New Roman" w:cs="Times New Roman"/>
          <w:color w:val="000000"/>
          <w:lang w:eastAsia="en-GB"/>
        </w:rPr>
        <w:t>;</w:t>
      </w:r>
    </w:p>
    <w:p w14:paraId="2CE1D5EE" w14:textId="6A81F3DE" w:rsidR="000D241E" w:rsidRPr="00AE35B0" w:rsidRDefault="00206418" w:rsidP="00AE35B0">
      <w:pPr>
        <w:pStyle w:val="ListParagraph"/>
        <w:numPr>
          <w:ilvl w:val="0"/>
          <w:numId w:val="23"/>
        </w:numPr>
        <w:spacing w:after="0" w:line="300" w:lineRule="exact"/>
        <w:jc w:val="both"/>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s</w:t>
      </w:r>
      <w:r w:rsidR="000D241E" w:rsidRPr="00AE35B0">
        <w:rPr>
          <w:rFonts w:ascii="Times New Roman" w:eastAsia="Times New Roman" w:hAnsi="Times New Roman" w:cs="Times New Roman"/>
          <w:color w:val="000000"/>
          <w:lang w:eastAsia="en-GB"/>
        </w:rPr>
        <w:t>anctions against the organisation</w:t>
      </w:r>
      <w:r>
        <w:rPr>
          <w:rFonts w:ascii="Times New Roman" w:eastAsia="Times New Roman" w:hAnsi="Times New Roman" w:cs="Times New Roman"/>
          <w:color w:val="000000"/>
          <w:lang w:eastAsia="en-GB"/>
        </w:rPr>
        <w:t>.</w:t>
      </w:r>
    </w:p>
    <w:p w14:paraId="7A2D2E71" w14:textId="77777777" w:rsidR="002E789B" w:rsidRPr="00AE35B0" w:rsidRDefault="002E789B" w:rsidP="00AE35B0">
      <w:pPr>
        <w:pStyle w:val="ListParagraph"/>
        <w:spacing w:after="0" w:line="300" w:lineRule="exact"/>
        <w:jc w:val="both"/>
        <w:rPr>
          <w:rFonts w:ascii="Times New Roman" w:eastAsia="Times New Roman" w:hAnsi="Times New Roman" w:cs="Times New Roman"/>
          <w:lang w:eastAsia="en-GB"/>
        </w:rPr>
      </w:pPr>
    </w:p>
    <w:p w14:paraId="7C13F633" w14:textId="77777777" w:rsidR="006547BB" w:rsidRDefault="006547BB">
      <w:pP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br w:type="page"/>
      </w:r>
    </w:p>
    <w:p w14:paraId="0F522A22" w14:textId="69B912D2" w:rsidR="000D241E" w:rsidRPr="00F34F09" w:rsidRDefault="000D241E" w:rsidP="003A3B9B">
      <w:pPr>
        <w:numPr>
          <w:ilvl w:val="0"/>
          <w:numId w:val="1"/>
        </w:numPr>
        <w:spacing w:after="0" w:line="300" w:lineRule="exact"/>
        <w:ind w:left="360"/>
        <w:jc w:val="both"/>
        <w:textAlignment w:val="baseline"/>
        <w:outlineLvl w:val="2"/>
        <w:rPr>
          <w:rFonts w:ascii="Times New Roman" w:eastAsia="Times New Roman" w:hAnsi="Times New Roman" w:cs="Times New Roman"/>
          <w:b/>
          <w:bCs/>
          <w:color w:val="000000"/>
          <w:lang w:eastAsia="en-GB"/>
        </w:rPr>
      </w:pPr>
      <w:r w:rsidRPr="00F34F09">
        <w:rPr>
          <w:rFonts w:ascii="Times New Roman" w:eastAsia="Times New Roman" w:hAnsi="Times New Roman" w:cs="Times New Roman"/>
          <w:b/>
          <w:bCs/>
          <w:color w:val="000000"/>
          <w:lang w:eastAsia="en-GB"/>
        </w:rPr>
        <w:lastRenderedPageBreak/>
        <w:t>Responsibilities</w:t>
      </w:r>
    </w:p>
    <w:p w14:paraId="5E272068"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1E132F9E" w14:textId="12CF2F1E"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 xml:space="preserve">The relevant department is responsible for monitoring all transactions to and from the Company and verifying the identity of all online registered players that reached set threshold.  </w:t>
      </w:r>
      <w:r w:rsidR="00D50679">
        <w:rPr>
          <w:rFonts w:ascii="Times New Roman" w:eastAsia="Times New Roman" w:hAnsi="Times New Roman" w:cs="Times New Roman"/>
          <w:color w:val="000000"/>
          <w:lang w:eastAsia="en-GB"/>
        </w:rPr>
        <w:t>T</w:t>
      </w:r>
      <w:r w:rsidRPr="00F34F09">
        <w:rPr>
          <w:rFonts w:ascii="Times New Roman" w:eastAsia="Times New Roman" w:hAnsi="Times New Roman" w:cs="Times New Roman"/>
          <w:color w:val="000000"/>
          <w:lang w:eastAsia="en-GB"/>
        </w:rPr>
        <w:t>he Company’</w:t>
      </w:r>
      <w:r w:rsidR="00D50679">
        <w:rPr>
          <w:rFonts w:ascii="Times New Roman" w:eastAsia="Times New Roman" w:hAnsi="Times New Roman" w:cs="Times New Roman"/>
          <w:color w:val="000000"/>
          <w:lang w:eastAsia="en-GB"/>
        </w:rPr>
        <w:t>s</w:t>
      </w:r>
      <w:r w:rsidRPr="00F34F09">
        <w:rPr>
          <w:rFonts w:ascii="Times New Roman" w:eastAsia="Times New Roman" w:hAnsi="Times New Roman" w:cs="Times New Roman"/>
          <w:color w:val="000000"/>
          <w:lang w:eastAsia="en-GB"/>
        </w:rPr>
        <w:t xml:space="preserve"> senior management, as well as all employees, are fully committed to adopting a risk-based approach to anti-money laundering (“</w:t>
      </w:r>
      <w:r w:rsidRPr="003A3B9B">
        <w:rPr>
          <w:rFonts w:ascii="Times New Roman" w:hAnsi="Times New Roman"/>
          <w:b/>
          <w:color w:val="000000"/>
        </w:rPr>
        <w:t>AML</w:t>
      </w:r>
      <w:r w:rsidRPr="00F34F09">
        <w:rPr>
          <w:rFonts w:ascii="Times New Roman" w:eastAsia="Times New Roman" w:hAnsi="Times New Roman" w:cs="Times New Roman"/>
          <w:color w:val="000000"/>
          <w:lang w:eastAsia="en-GB"/>
        </w:rPr>
        <w:t>”) with effort focused where it is most needed to be able to process payment transactions between  the Company and customers in a way free of money laundering matter issues.</w:t>
      </w:r>
    </w:p>
    <w:p w14:paraId="61168136"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3767D307" w14:textId="34A2404C"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The developed internal systems and procedures applied by  the Company are appropriate for remote gaming businesses</w:t>
      </w:r>
      <w:r w:rsidRPr="00F34F09">
        <w:rPr>
          <w:rFonts w:ascii="Times New Roman" w:eastAsia="Times New Roman" w:hAnsi="Times New Roman" w:cs="Times New Roman"/>
          <w:lang w:eastAsia="en-GB"/>
        </w:rPr>
        <w:t xml:space="preserve">. </w:t>
      </w:r>
      <w:r w:rsidRPr="00F34F09">
        <w:rPr>
          <w:rFonts w:ascii="Times New Roman" w:eastAsia="Times New Roman" w:hAnsi="Times New Roman" w:cs="Times New Roman"/>
          <w:color w:val="000000"/>
          <w:lang w:eastAsia="en-GB"/>
        </w:rPr>
        <w:t>The Company appreciates that its money laundering and terrorist financing risk assessment is not a one-off exercise, and these are assessed regularly so that adopted approach is effective at any time.</w:t>
      </w:r>
    </w:p>
    <w:p w14:paraId="2517884A" w14:textId="4F8962A0" w:rsidR="000D241E" w:rsidRPr="00F34F09" w:rsidRDefault="000D241E" w:rsidP="006009EB">
      <w:pPr>
        <w:spacing w:after="0" w:line="300" w:lineRule="exact"/>
        <w:rPr>
          <w:rFonts w:ascii="Times New Roman" w:eastAsia="Times New Roman" w:hAnsi="Times New Roman" w:cs="Times New Roman"/>
          <w:lang w:eastAsia="en-GB"/>
        </w:rPr>
      </w:pPr>
    </w:p>
    <w:p w14:paraId="12D44312" w14:textId="314F521D" w:rsidR="000D241E" w:rsidRDefault="003D69D1" w:rsidP="006009EB">
      <w:pPr>
        <w:spacing w:after="0" w:line="300" w:lineRule="exact"/>
        <w:jc w:val="both"/>
        <w:outlineLvl w:val="2"/>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5.1. </w:t>
      </w:r>
      <w:r w:rsidR="000D241E" w:rsidRPr="00F34F09">
        <w:rPr>
          <w:rFonts w:ascii="Times New Roman" w:eastAsia="Times New Roman" w:hAnsi="Times New Roman" w:cs="Times New Roman"/>
          <w:b/>
          <w:bCs/>
          <w:color w:val="000000"/>
          <w:lang w:eastAsia="en-GB"/>
        </w:rPr>
        <w:t>Senior Management Responsibility</w:t>
      </w:r>
    </w:p>
    <w:p w14:paraId="4BFFD0A2" w14:textId="77777777" w:rsidR="005C46A7" w:rsidRPr="00F34F09" w:rsidRDefault="005C46A7" w:rsidP="006009EB">
      <w:pPr>
        <w:spacing w:after="0" w:line="300" w:lineRule="exact"/>
        <w:jc w:val="both"/>
        <w:outlineLvl w:val="2"/>
        <w:rPr>
          <w:rFonts w:ascii="Times New Roman" w:eastAsia="Times New Roman" w:hAnsi="Times New Roman" w:cs="Times New Roman"/>
          <w:b/>
          <w:bCs/>
          <w:lang w:eastAsia="en-GB"/>
        </w:rPr>
      </w:pPr>
    </w:p>
    <w:p w14:paraId="2CF7F49E" w14:textId="4B0DEF90"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Senior management is fully engaged in the processes around the Company’ assessment of risks for money laundering and terrorist financing and are involved at every</w:t>
      </w:r>
      <w:r w:rsidR="005C46A7">
        <w:rPr>
          <w:rFonts w:ascii="Times New Roman" w:eastAsia="Times New Roman" w:hAnsi="Times New Roman" w:cs="Times New Roman"/>
          <w:color w:val="000000"/>
          <w:lang w:eastAsia="en-GB"/>
        </w:rPr>
        <w:t xml:space="preserve"> </w:t>
      </w:r>
      <w:r w:rsidRPr="00F34F09">
        <w:rPr>
          <w:rFonts w:ascii="Times New Roman" w:eastAsia="Times New Roman" w:hAnsi="Times New Roman" w:cs="Times New Roman"/>
          <w:color w:val="000000"/>
          <w:lang w:eastAsia="en-GB"/>
        </w:rPr>
        <w:t>level of the decision making to develop the appropriate policies and processes to comply</w:t>
      </w:r>
      <w:r w:rsidR="005C46A7">
        <w:rPr>
          <w:rFonts w:ascii="Times New Roman" w:eastAsia="Times New Roman" w:hAnsi="Times New Roman" w:cs="Times New Roman"/>
          <w:color w:val="000000"/>
          <w:lang w:eastAsia="en-GB"/>
        </w:rPr>
        <w:t xml:space="preserve"> </w:t>
      </w:r>
      <w:r w:rsidRPr="00F34F09">
        <w:rPr>
          <w:rFonts w:ascii="Times New Roman" w:eastAsia="Times New Roman" w:hAnsi="Times New Roman" w:cs="Times New Roman"/>
          <w:color w:val="000000"/>
          <w:lang w:eastAsia="en-GB"/>
        </w:rPr>
        <w:t>with relevant legislation.</w:t>
      </w:r>
    </w:p>
    <w:p w14:paraId="3F700B18"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48666C50" w14:textId="3447B1E3" w:rsidR="000D241E" w:rsidRDefault="006547BB" w:rsidP="006009EB">
      <w:pPr>
        <w:spacing w:after="0" w:line="300" w:lineRule="exact"/>
        <w:jc w:val="both"/>
        <w:outlineLvl w:val="2"/>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5</w:t>
      </w:r>
      <w:r w:rsidR="000D241E" w:rsidRPr="00F34F09">
        <w:rPr>
          <w:rFonts w:ascii="Times New Roman" w:eastAsia="Times New Roman" w:hAnsi="Times New Roman" w:cs="Times New Roman"/>
          <w:b/>
          <w:bCs/>
          <w:color w:val="000000"/>
          <w:lang w:eastAsia="en-GB"/>
        </w:rPr>
        <w:t>.2 Money Laundering Reporting Officer</w:t>
      </w:r>
      <w:r w:rsidR="00887197">
        <w:rPr>
          <w:rFonts w:ascii="Times New Roman" w:eastAsia="Times New Roman" w:hAnsi="Times New Roman" w:cs="Times New Roman"/>
          <w:b/>
          <w:bCs/>
          <w:color w:val="000000"/>
          <w:lang w:eastAsia="en-GB"/>
        </w:rPr>
        <w:t xml:space="preserve"> (“MLRO”)</w:t>
      </w:r>
    </w:p>
    <w:p w14:paraId="7DFB5510" w14:textId="77777777" w:rsidR="005C46A7" w:rsidRPr="00F34F09" w:rsidRDefault="005C46A7" w:rsidP="006009EB">
      <w:pPr>
        <w:spacing w:after="0" w:line="300" w:lineRule="exact"/>
        <w:jc w:val="both"/>
        <w:outlineLvl w:val="2"/>
        <w:rPr>
          <w:rFonts w:ascii="Times New Roman" w:eastAsia="Times New Roman" w:hAnsi="Times New Roman" w:cs="Times New Roman"/>
          <w:b/>
          <w:bCs/>
          <w:lang w:eastAsia="en-GB"/>
        </w:rPr>
      </w:pPr>
    </w:p>
    <w:p w14:paraId="2D8A54CE" w14:textId="1C253319"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The MLRO is responsible for the oversight of all aspects of the AML activities within the company and has the authority to act independently in carrying out his responsibilities having access to sufficient resources to carry out his duties. His duties and responsibilities</w:t>
      </w:r>
      <w:r w:rsidR="005C46A7">
        <w:rPr>
          <w:rFonts w:ascii="Times New Roman" w:eastAsia="Times New Roman" w:hAnsi="Times New Roman" w:cs="Times New Roman"/>
          <w:color w:val="000000"/>
          <w:lang w:eastAsia="en-GB"/>
        </w:rPr>
        <w:t xml:space="preserve"> </w:t>
      </w:r>
      <w:r w:rsidRPr="00F34F09">
        <w:rPr>
          <w:rFonts w:ascii="Times New Roman" w:eastAsia="Times New Roman" w:hAnsi="Times New Roman" w:cs="Times New Roman"/>
          <w:color w:val="000000"/>
          <w:lang w:eastAsia="en-GB"/>
        </w:rPr>
        <w:t>include:</w:t>
      </w:r>
    </w:p>
    <w:p w14:paraId="2EE43D33" w14:textId="5D60E7A2" w:rsidR="000D241E" w:rsidRPr="005C46A7" w:rsidRDefault="000D241E" w:rsidP="005C46A7">
      <w:pPr>
        <w:pStyle w:val="ListParagraph"/>
        <w:numPr>
          <w:ilvl w:val="0"/>
          <w:numId w:val="24"/>
        </w:numPr>
        <w:spacing w:after="0" w:line="300" w:lineRule="exact"/>
        <w:jc w:val="both"/>
        <w:rPr>
          <w:rFonts w:ascii="Times New Roman" w:eastAsia="Times New Roman" w:hAnsi="Times New Roman" w:cs="Times New Roman"/>
          <w:lang w:eastAsia="en-GB"/>
        </w:rPr>
      </w:pPr>
      <w:r w:rsidRPr="005C46A7">
        <w:rPr>
          <w:rFonts w:ascii="Times New Roman" w:eastAsia="Times New Roman" w:hAnsi="Times New Roman" w:cs="Times New Roman"/>
          <w:color w:val="000000"/>
          <w:lang w:eastAsia="en-GB"/>
        </w:rPr>
        <w:t>identifying money laundering and terrorist financing risks relevant to the Company;</w:t>
      </w:r>
    </w:p>
    <w:p w14:paraId="51D3CEF1" w14:textId="70AC36A9" w:rsidR="000D241E" w:rsidRPr="00786CE3" w:rsidRDefault="000D241E" w:rsidP="00786CE3">
      <w:pPr>
        <w:pStyle w:val="ListParagraph"/>
        <w:numPr>
          <w:ilvl w:val="0"/>
          <w:numId w:val="24"/>
        </w:numPr>
        <w:spacing w:after="0" w:line="300" w:lineRule="exact"/>
        <w:jc w:val="both"/>
        <w:rPr>
          <w:rFonts w:ascii="Times New Roman" w:eastAsia="Times New Roman" w:hAnsi="Times New Roman" w:cs="Times New Roman"/>
          <w:lang w:eastAsia="en-GB"/>
        </w:rPr>
      </w:pPr>
      <w:r w:rsidRPr="005C46A7">
        <w:rPr>
          <w:rFonts w:ascii="Times New Roman" w:eastAsia="Times New Roman" w:hAnsi="Times New Roman" w:cs="Times New Roman"/>
          <w:color w:val="000000"/>
          <w:lang w:eastAsia="en-GB"/>
        </w:rPr>
        <w:t>designing and implementing policies and procedures relating to AML and countering terrorist financing (“</w:t>
      </w:r>
      <w:r w:rsidRPr="003A3B9B">
        <w:rPr>
          <w:rFonts w:ascii="Times New Roman" w:hAnsi="Times New Roman"/>
          <w:b/>
          <w:color w:val="000000"/>
        </w:rPr>
        <w:t>CTF</w:t>
      </w:r>
      <w:r w:rsidRPr="005C46A7">
        <w:rPr>
          <w:rFonts w:ascii="Times New Roman" w:eastAsia="Times New Roman" w:hAnsi="Times New Roman" w:cs="Times New Roman"/>
          <w:color w:val="000000"/>
          <w:lang w:eastAsia="en-GB"/>
        </w:rPr>
        <w:t>”), monitoring the effectiveness of these and reviewing and</w:t>
      </w:r>
      <w:r w:rsidR="00786CE3">
        <w:rPr>
          <w:rFonts w:ascii="Times New Roman" w:eastAsia="Times New Roman" w:hAnsi="Times New Roman" w:cs="Times New Roman"/>
          <w:color w:val="000000"/>
          <w:lang w:eastAsia="en-GB"/>
        </w:rPr>
        <w:t xml:space="preserve"> </w:t>
      </w:r>
      <w:r w:rsidRPr="00786CE3">
        <w:rPr>
          <w:rFonts w:ascii="Times New Roman" w:eastAsia="Times New Roman" w:hAnsi="Times New Roman" w:cs="Times New Roman"/>
          <w:color w:val="000000"/>
          <w:lang w:eastAsia="en-GB"/>
        </w:rPr>
        <w:t>updating these policies and procedures;</w:t>
      </w:r>
    </w:p>
    <w:p w14:paraId="0F995686" w14:textId="19B9D8F3" w:rsidR="000D241E" w:rsidRPr="00786CE3" w:rsidRDefault="000D241E" w:rsidP="00786CE3">
      <w:pPr>
        <w:pStyle w:val="ListParagraph"/>
        <w:numPr>
          <w:ilvl w:val="0"/>
          <w:numId w:val="24"/>
        </w:numPr>
        <w:spacing w:after="0" w:line="300" w:lineRule="exact"/>
        <w:jc w:val="both"/>
        <w:rPr>
          <w:rFonts w:ascii="Times New Roman" w:eastAsia="Times New Roman" w:hAnsi="Times New Roman" w:cs="Times New Roman"/>
          <w:lang w:eastAsia="en-GB"/>
        </w:rPr>
      </w:pPr>
      <w:r w:rsidRPr="005C46A7">
        <w:rPr>
          <w:rFonts w:ascii="Times New Roman" w:eastAsia="Times New Roman" w:hAnsi="Times New Roman" w:cs="Times New Roman"/>
          <w:color w:val="000000"/>
          <w:lang w:eastAsia="en-GB"/>
        </w:rPr>
        <w:t>reporting to Senior Management on AML and CTF activity and the effectiveness of</w:t>
      </w:r>
      <w:r w:rsidR="00786CE3">
        <w:rPr>
          <w:rFonts w:ascii="Times New Roman" w:eastAsia="Times New Roman" w:hAnsi="Times New Roman" w:cs="Times New Roman"/>
          <w:color w:val="000000"/>
          <w:lang w:eastAsia="en-GB"/>
        </w:rPr>
        <w:t xml:space="preserve"> </w:t>
      </w:r>
      <w:r w:rsidRPr="00786CE3">
        <w:rPr>
          <w:rFonts w:ascii="Times New Roman" w:eastAsia="Times New Roman" w:hAnsi="Times New Roman" w:cs="Times New Roman"/>
          <w:color w:val="000000"/>
          <w:lang w:eastAsia="en-GB"/>
        </w:rPr>
        <w:t>the Company’s controls;</w:t>
      </w:r>
    </w:p>
    <w:p w14:paraId="08990183" w14:textId="058B0ABB" w:rsidR="000D241E" w:rsidRPr="005C46A7" w:rsidRDefault="000D241E" w:rsidP="005C46A7">
      <w:pPr>
        <w:pStyle w:val="ListParagraph"/>
        <w:numPr>
          <w:ilvl w:val="0"/>
          <w:numId w:val="24"/>
        </w:numPr>
        <w:spacing w:after="0" w:line="300" w:lineRule="exact"/>
        <w:jc w:val="both"/>
        <w:rPr>
          <w:rFonts w:ascii="Times New Roman" w:eastAsia="Times New Roman" w:hAnsi="Times New Roman" w:cs="Times New Roman"/>
          <w:lang w:eastAsia="en-GB"/>
        </w:rPr>
      </w:pPr>
      <w:r w:rsidRPr="005C46A7">
        <w:rPr>
          <w:rFonts w:ascii="Times New Roman" w:eastAsia="Times New Roman" w:hAnsi="Times New Roman" w:cs="Times New Roman"/>
          <w:color w:val="000000"/>
          <w:lang w:eastAsia="en-GB"/>
        </w:rPr>
        <w:t>keeping AML/CTF records;</w:t>
      </w:r>
    </w:p>
    <w:p w14:paraId="70DBC638" w14:textId="09C496F5" w:rsidR="000D241E" w:rsidRPr="005C46A7" w:rsidRDefault="000D241E" w:rsidP="005C46A7">
      <w:pPr>
        <w:pStyle w:val="ListParagraph"/>
        <w:numPr>
          <w:ilvl w:val="0"/>
          <w:numId w:val="24"/>
        </w:numPr>
        <w:spacing w:after="0" w:line="300" w:lineRule="exact"/>
        <w:jc w:val="both"/>
        <w:rPr>
          <w:rFonts w:ascii="Times New Roman" w:eastAsia="Times New Roman" w:hAnsi="Times New Roman" w:cs="Times New Roman"/>
          <w:lang w:eastAsia="en-GB"/>
        </w:rPr>
      </w:pPr>
      <w:r w:rsidRPr="005C46A7">
        <w:rPr>
          <w:rFonts w:ascii="Times New Roman" w:eastAsia="Times New Roman" w:hAnsi="Times New Roman" w:cs="Times New Roman"/>
          <w:color w:val="000000"/>
          <w:lang w:eastAsia="en-GB"/>
        </w:rPr>
        <w:t>receiving internal disclosures and deciding whether these should be reported;</w:t>
      </w:r>
    </w:p>
    <w:p w14:paraId="3A50450F" w14:textId="7A2A057A" w:rsidR="000D241E" w:rsidRPr="005C46A7" w:rsidRDefault="000D241E" w:rsidP="005C46A7">
      <w:pPr>
        <w:pStyle w:val="ListParagraph"/>
        <w:numPr>
          <w:ilvl w:val="0"/>
          <w:numId w:val="24"/>
        </w:numPr>
        <w:spacing w:after="0" w:line="300" w:lineRule="exact"/>
        <w:jc w:val="both"/>
        <w:rPr>
          <w:rFonts w:ascii="Times New Roman" w:eastAsia="Times New Roman" w:hAnsi="Times New Roman" w:cs="Times New Roman"/>
          <w:lang w:eastAsia="en-GB"/>
        </w:rPr>
      </w:pPr>
      <w:r w:rsidRPr="005C46A7">
        <w:rPr>
          <w:rFonts w:ascii="Times New Roman" w:eastAsia="Times New Roman" w:hAnsi="Times New Roman" w:cs="Times New Roman"/>
          <w:color w:val="000000"/>
          <w:lang w:eastAsia="en-GB"/>
        </w:rPr>
        <w:t>training employees to ensure that they are aware of the Company’s AML policies and</w:t>
      </w:r>
    </w:p>
    <w:p w14:paraId="34762DE3" w14:textId="77777777" w:rsidR="000D241E" w:rsidRPr="005C46A7" w:rsidRDefault="000D241E" w:rsidP="005C46A7">
      <w:pPr>
        <w:pStyle w:val="ListParagraph"/>
        <w:numPr>
          <w:ilvl w:val="0"/>
          <w:numId w:val="24"/>
        </w:numPr>
        <w:spacing w:after="0" w:line="300" w:lineRule="exact"/>
        <w:jc w:val="both"/>
        <w:rPr>
          <w:rFonts w:ascii="Times New Roman" w:eastAsia="Times New Roman" w:hAnsi="Times New Roman" w:cs="Times New Roman"/>
          <w:lang w:eastAsia="en-GB"/>
        </w:rPr>
      </w:pPr>
      <w:r w:rsidRPr="005C46A7">
        <w:rPr>
          <w:rFonts w:ascii="Times New Roman" w:eastAsia="Times New Roman" w:hAnsi="Times New Roman" w:cs="Times New Roman"/>
          <w:color w:val="000000"/>
          <w:lang w:eastAsia="en-GB"/>
        </w:rPr>
        <w:t>procedures and how to report suspicious transactions;</w:t>
      </w:r>
    </w:p>
    <w:p w14:paraId="34CB2459" w14:textId="392120A4" w:rsidR="000D241E" w:rsidRPr="005C46A7" w:rsidRDefault="000D241E" w:rsidP="005C46A7">
      <w:pPr>
        <w:pStyle w:val="ListParagraph"/>
        <w:numPr>
          <w:ilvl w:val="0"/>
          <w:numId w:val="24"/>
        </w:numPr>
        <w:spacing w:after="0" w:line="300" w:lineRule="exact"/>
        <w:jc w:val="both"/>
        <w:rPr>
          <w:rFonts w:ascii="Times New Roman" w:eastAsia="Times New Roman" w:hAnsi="Times New Roman" w:cs="Times New Roman"/>
          <w:lang w:eastAsia="en-GB"/>
        </w:rPr>
      </w:pPr>
      <w:r w:rsidRPr="005C46A7">
        <w:rPr>
          <w:rFonts w:ascii="Times New Roman" w:eastAsia="Times New Roman" w:hAnsi="Times New Roman" w:cs="Times New Roman"/>
          <w:color w:val="000000"/>
          <w:lang w:eastAsia="en-GB"/>
        </w:rPr>
        <w:t>being the internal point of contact for the suspicious transaction reports (“</w:t>
      </w:r>
      <w:r w:rsidRPr="003A3B9B">
        <w:rPr>
          <w:rFonts w:ascii="Times New Roman" w:hAnsi="Times New Roman"/>
          <w:b/>
          <w:color w:val="000000"/>
        </w:rPr>
        <w:t>STRs</w:t>
      </w:r>
      <w:r w:rsidRPr="005C46A7">
        <w:rPr>
          <w:rFonts w:ascii="Times New Roman" w:eastAsia="Times New Roman" w:hAnsi="Times New Roman" w:cs="Times New Roman"/>
          <w:color w:val="000000"/>
          <w:lang w:eastAsia="en-GB"/>
        </w:rPr>
        <w:t>”);</w:t>
      </w:r>
    </w:p>
    <w:p w14:paraId="1ED2E8C8" w14:textId="55DFDCB7" w:rsidR="000D241E" w:rsidRPr="00786CE3" w:rsidRDefault="000D241E" w:rsidP="00786CE3">
      <w:pPr>
        <w:pStyle w:val="ListParagraph"/>
        <w:numPr>
          <w:ilvl w:val="0"/>
          <w:numId w:val="24"/>
        </w:numPr>
        <w:spacing w:after="0" w:line="300" w:lineRule="exact"/>
        <w:jc w:val="both"/>
        <w:rPr>
          <w:rFonts w:ascii="Times New Roman" w:eastAsia="Times New Roman" w:hAnsi="Times New Roman" w:cs="Times New Roman"/>
          <w:lang w:eastAsia="en-GB"/>
        </w:rPr>
      </w:pPr>
      <w:r w:rsidRPr="005C46A7">
        <w:rPr>
          <w:rFonts w:ascii="Times New Roman" w:eastAsia="Times New Roman" w:hAnsi="Times New Roman" w:cs="Times New Roman"/>
          <w:color w:val="000000"/>
          <w:lang w:eastAsia="en-GB"/>
        </w:rPr>
        <w:t>reviewing and investigating STRs and considering whether a suspicious activity report</w:t>
      </w:r>
      <w:r w:rsidR="00786CE3">
        <w:rPr>
          <w:rFonts w:ascii="Times New Roman" w:eastAsia="Times New Roman" w:hAnsi="Times New Roman" w:cs="Times New Roman"/>
          <w:color w:val="000000"/>
          <w:lang w:eastAsia="en-GB"/>
        </w:rPr>
        <w:t xml:space="preserve"> </w:t>
      </w:r>
      <w:r w:rsidRPr="00786CE3">
        <w:rPr>
          <w:rFonts w:ascii="Times New Roman" w:eastAsia="Times New Roman" w:hAnsi="Times New Roman" w:cs="Times New Roman"/>
          <w:color w:val="000000"/>
          <w:lang w:eastAsia="en-GB"/>
        </w:rPr>
        <w:t>(“</w:t>
      </w:r>
      <w:r w:rsidRPr="003A3B9B">
        <w:rPr>
          <w:rFonts w:ascii="Times New Roman" w:hAnsi="Times New Roman"/>
          <w:b/>
          <w:color w:val="000000"/>
        </w:rPr>
        <w:t>SAR</w:t>
      </w:r>
      <w:r w:rsidRPr="00786CE3">
        <w:rPr>
          <w:rFonts w:ascii="Times New Roman" w:eastAsia="Times New Roman" w:hAnsi="Times New Roman" w:cs="Times New Roman"/>
          <w:color w:val="000000"/>
          <w:lang w:eastAsia="en-GB"/>
        </w:rPr>
        <w:t>”) should be submitted to the authorities.</w:t>
      </w:r>
    </w:p>
    <w:p w14:paraId="1C38FCD4"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5147FF05" w14:textId="77777777"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Any internal report should be considered by the nominated officer, in the light of all other relevant information, to determine whether or not the information contained in the report leads them to form knowledge or suspicion, or reasonable grounds for knowledge or suspicion of money laundering or terrorist financing.</w:t>
      </w:r>
    </w:p>
    <w:p w14:paraId="520F50E3"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5B2EE342" w14:textId="4994AAE3"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 xml:space="preserve">Where any AML tasks are delegated within the business, the MLRO will remain responsible for all AML issues. Any delegated tasks will be recorded and will be countersigned by the delegate to confirm </w:t>
      </w:r>
      <w:r w:rsidRPr="00F34F09">
        <w:rPr>
          <w:rFonts w:ascii="Times New Roman" w:eastAsia="Times New Roman" w:hAnsi="Times New Roman" w:cs="Times New Roman"/>
          <w:color w:val="000000"/>
          <w:lang w:eastAsia="en-GB"/>
        </w:rPr>
        <w:lastRenderedPageBreak/>
        <w:t>acceptance of responsibility. Employees who need to be aware of the</w:t>
      </w:r>
      <w:r w:rsidR="00E27D9F">
        <w:rPr>
          <w:rFonts w:ascii="Times New Roman" w:eastAsia="Times New Roman" w:hAnsi="Times New Roman" w:cs="Times New Roman"/>
          <w:color w:val="000000"/>
          <w:lang w:eastAsia="en-GB"/>
        </w:rPr>
        <w:t xml:space="preserve"> </w:t>
      </w:r>
      <w:r w:rsidRPr="00F34F09">
        <w:rPr>
          <w:rFonts w:ascii="Times New Roman" w:eastAsia="Times New Roman" w:hAnsi="Times New Roman" w:cs="Times New Roman"/>
          <w:color w:val="000000"/>
          <w:lang w:eastAsia="en-GB"/>
        </w:rPr>
        <w:t>delegation will be notified immediately.</w:t>
      </w:r>
    </w:p>
    <w:p w14:paraId="30D141A1"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66CF917B" w14:textId="50A56B76" w:rsidR="000D241E" w:rsidRPr="00F34F09" w:rsidRDefault="003D69D1" w:rsidP="006009EB">
      <w:pPr>
        <w:spacing w:after="0" w:line="300" w:lineRule="exact"/>
        <w:jc w:val="both"/>
        <w:outlineLvl w:val="2"/>
        <w:rPr>
          <w:rFonts w:ascii="Times New Roman" w:eastAsia="Times New Roman" w:hAnsi="Times New Roman" w:cs="Times New Roman"/>
          <w:b/>
          <w:bCs/>
          <w:lang w:eastAsia="en-GB"/>
        </w:rPr>
      </w:pPr>
      <w:r>
        <w:rPr>
          <w:rFonts w:ascii="Times New Roman" w:eastAsia="Times New Roman" w:hAnsi="Times New Roman" w:cs="Times New Roman"/>
          <w:b/>
          <w:bCs/>
          <w:color w:val="000000"/>
          <w:lang w:eastAsia="en-GB"/>
        </w:rPr>
        <w:t>5</w:t>
      </w:r>
      <w:r w:rsidR="000D241E" w:rsidRPr="00F34F09">
        <w:rPr>
          <w:rFonts w:ascii="Times New Roman" w:eastAsia="Times New Roman" w:hAnsi="Times New Roman" w:cs="Times New Roman"/>
          <w:b/>
          <w:bCs/>
          <w:color w:val="000000"/>
          <w:lang w:eastAsia="en-GB"/>
        </w:rPr>
        <w:t>.3 Employees’ Responsibilities</w:t>
      </w:r>
    </w:p>
    <w:p w14:paraId="440D0D46"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43C31E5B" w14:textId="4ADAF39D"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Employees are trained to follow the Company’ policies and procedures for customer due diligence and ongoing monitoring processes.</w:t>
      </w:r>
    </w:p>
    <w:p w14:paraId="2F70606D"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05300780" w14:textId="77777777"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Employees must report to the MLRO any knowledge or suspicion of money laundering whether by customers, guests or other employees by drafting an internal STR.</w:t>
      </w:r>
    </w:p>
    <w:p w14:paraId="1E9C5B12"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6F5E8366" w14:textId="4CC0AE2B" w:rsidR="000D241E" w:rsidRPr="006547BB" w:rsidRDefault="000D241E" w:rsidP="003A3B9B">
      <w:pPr>
        <w:numPr>
          <w:ilvl w:val="0"/>
          <w:numId w:val="1"/>
        </w:numPr>
        <w:spacing w:after="0" w:line="300" w:lineRule="exact"/>
        <w:ind w:left="360"/>
        <w:jc w:val="both"/>
        <w:textAlignment w:val="baseline"/>
        <w:outlineLvl w:val="2"/>
        <w:rPr>
          <w:rFonts w:ascii="Times New Roman" w:eastAsia="Times New Roman" w:hAnsi="Times New Roman" w:cs="Times New Roman"/>
          <w:b/>
          <w:bCs/>
          <w:color w:val="000000"/>
          <w:lang w:eastAsia="en-GB"/>
        </w:rPr>
      </w:pPr>
      <w:r w:rsidRPr="00F34F09">
        <w:rPr>
          <w:rFonts w:ascii="Times New Roman" w:eastAsia="Times New Roman" w:hAnsi="Times New Roman" w:cs="Times New Roman"/>
          <w:b/>
          <w:bCs/>
          <w:color w:val="000000"/>
          <w:lang w:eastAsia="en-GB"/>
        </w:rPr>
        <w:t>Customer Due Diligence</w:t>
      </w:r>
      <w:r w:rsidR="009E663C">
        <w:rPr>
          <w:rFonts w:ascii="Times New Roman" w:eastAsia="Times New Roman" w:hAnsi="Times New Roman" w:cs="Times New Roman"/>
          <w:b/>
          <w:bCs/>
          <w:color w:val="000000"/>
          <w:lang w:eastAsia="en-GB"/>
        </w:rPr>
        <w:t xml:space="preserve"> (“CCD”)</w:t>
      </w:r>
    </w:p>
    <w:p w14:paraId="17E3D34C"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4A824B67" w14:textId="77777777" w:rsidR="00A75A06" w:rsidRDefault="000D241E" w:rsidP="006009EB">
      <w:pPr>
        <w:spacing w:after="0" w:line="300" w:lineRule="exact"/>
        <w:jc w:val="both"/>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 xml:space="preserve">Identifying a customer means obtaining information about his identity (name, address, date of birth, employment and financial history, physical appearance and family circumstances). </w:t>
      </w:r>
    </w:p>
    <w:p w14:paraId="4CFEE7BC" w14:textId="77777777" w:rsidR="00A75A06" w:rsidRDefault="00A75A06" w:rsidP="006009EB">
      <w:pPr>
        <w:spacing w:after="0" w:line="300" w:lineRule="exact"/>
        <w:jc w:val="both"/>
        <w:rPr>
          <w:rFonts w:ascii="Times New Roman" w:eastAsia="Times New Roman" w:hAnsi="Times New Roman" w:cs="Times New Roman"/>
          <w:color w:val="000000"/>
          <w:lang w:eastAsia="en-GB"/>
        </w:rPr>
      </w:pPr>
    </w:p>
    <w:p w14:paraId="1A2DCC2D" w14:textId="0393826B" w:rsidR="000D241E" w:rsidRPr="00F34F09" w:rsidRDefault="000D241E" w:rsidP="006009EB">
      <w:pPr>
        <w:spacing w:after="0" w:line="300" w:lineRule="exact"/>
        <w:jc w:val="both"/>
        <w:rPr>
          <w:rFonts w:ascii="Times New Roman" w:eastAsia="Times New Roman" w:hAnsi="Times New Roman" w:cs="Times New Roman"/>
          <w:lang w:eastAsia="en-GB"/>
        </w:rPr>
      </w:pPr>
      <w:r w:rsidRPr="00D754B4">
        <w:rPr>
          <w:rFonts w:ascii="Times New Roman" w:eastAsia="Times New Roman" w:hAnsi="Times New Roman" w:cs="Times New Roman"/>
          <w:color w:val="000000"/>
          <w:lang w:eastAsia="en-GB"/>
        </w:rPr>
        <w:t>Verifying id</w:t>
      </w:r>
      <w:r w:rsidRPr="00F34F09">
        <w:rPr>
          <w:rFonts w:ascii="Times New Roman" w:eastAsia="Times New Roman" w:hAnsi="Times New Roman" w:cs="Times New Roman"/>
          <w:color w:val="000000"/>
          <w:lang w:eastAsia="en-GB"/>
        </w:rPr>
        <w:t>entity means obtaining evidence that supports this information. </w:t>
      </w:r>
    </w:p>
    <w:p w14:paraId="6534CD97" w14:textId="224F21D9" w:rsidR="000D241E" w:rsidRPr="00D754B4" w:rsidRDefault="00D754B4" w:rsidP="00D754B4">
      <w:pPr>
        <w:pStyle w:val="ListParagraph"/>
        <w:numPr>
          <w:ilvl w:val="0"/>
          <w:numId w:val="25"/>
        </w:numPr>
        <w:spacing w:after="0" w:line="300" w:lineRule="exact"/>
        <w:jc w:val="both"/>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o</w:t>
      </w:r>
      <w:r w:rsidR="000D241E" w:rsidRPr="00D754B4">
        <w:rPr>
          <w:rFonts w:ascii="Times New Roman" w:eastAsia="Times New Roman" w:hAnsi="Times New Roman" w:cs="Times New Roman"/>
          <w:color w:val="000000"/>
          <w:lang w:eastAsia="en-GB"/>
        </w:rPr>
        <w:t>ne government document which verifies either name and address or name and</w:t>
      </w:r>
      <w:r w:rsidRPr="00D754B4">
        <w:rPr>
          <w:rFonts w:ascii="Times New Roman" w:eastAsia="Times New Roman" w:hAnsi="Times New Roman" w:cs="Times New Roman"/>
          <w:color w:val="000000"/>
          <w:lang w:eastAsia="en-GB"/>
        </w:rPr>
        <w:t xml:space="preserve"> </w:t>
      </w:r>
      <w:r w:rsidR="000D241E" w:rsidRPr="00D754B4">
        <w:rPr>
          <w:rFonts w:ascii="Times New Roman" w:eastAsia="Times New Roman" w:hAnsi="Times New Roman" w:cs="Times New Roman"/>
          <w:color w:val="000000"/>
          <w:lang w:eastAsia="en-GB"/>
        </w:rPr>
        <w:t>date of birth; or</w:t>
      </w:r>
    </w:p>
    <w:p w14:paraId="35C00827" w14:textId="402C086C" w:rsidR="000D241E" w:rsidRPr="00D754B4" w:rsidRDefault="00D754B4" w:rsidP="00D754B4">
      <w:pPr>
        <w:pStyle w:val="ListParagraph"/>
        <w:numPr>
          <w:ilvl w:val="0"/>
          <w:numId w:val="25"/>
        </w:numPr>
        <w:spacing w:after="0" w:line="300" w:lineRule="exact"/>
        <w:jc w:val="both"/>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a</w:t>
      </w:r>
      <w:r w:rsidR="000D241E" w:rsidRPr="00D754B4">
        <w:rPr>
          <w:rFonts w:ascii="Times New Roman" w:eastAsia="Times New Roman" w:hAnsi="Times New Roman" w:cs="Times New Roman"/>
          <w:color w:val="000000"/>
          <w:lang w:eastAsia="en-GB"/>
        </w:rPr>
        <w:t xml:space="preserve"> government document which verifies the customer’s full name and another supporting document which verifies their name and either their address of date of birth.</w:t>
      </w:r>
    </w:p>
    <w:p w14:paraId="23058208"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3570B32D" w14:textId="77777777" w:rsidR="001730B7" w:rsidRDefault="001730B7" w:rsidP="001730B7">
      <w:pPr>
        <w:spacing w:after="0" w:line="300" w:lineRule="exact"/>
        <w:jc w:val="both"/>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 xml:space="preserve">CDD is carried out to identify and verify the identity of all customers </w:t>
      </w:r>
      <w:r>
        <w:rPr>
          <w:rFonts w:ascii="Times New Roman" w:eastAsia="Times New Roman" w:hAnsi="Times New Roman" w:cs="Times New Roman"/>
          <w:color w:val="000000"/>
          <w:lang w:eastAsia="en-GB"/>
        </w:rPr>
        <w:t>who:</w:t>
      </w:r>
    </w:p>
    <w:p w14:paraId="3F968C9B" w14:textId="77777777" w:rsidR="001730B7" w:rsidRDefault="001730B7" w:rsidP="001730B7">
      <w:pPr>
        <w:pStyle w:val="ListParagraph"/>
        <w:numPr>
          <w:ilvl w:val="0"/>
          <w:numId w:val="25"/>
        </w:numPr>
        <w:spacing w:after="0" w:line="300" w:lineRule="exact"/>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withdraw the funds in any amount; </w:t>
      </w:r>
    </w:p>
    <w:p w14:paraId="0D9CE630" w14:textId="77777777" w:rsidR="001730B7" w:rsidRPr="003D7341" w:rsidRDefault="001730B7" w:rsidP="001730B7">
      <w:pPr>
        <w:pStyle w:val="ListParagraph"/>
        <w:numPr>
          <w:ilvl w:val="0"/>
          <w:numId w:val="25"/>
        </w:numPr>
        <w:spacing w:after="0" w:line="300" w:lineRule="exact"/>
        <w:jc w:val="both"/>
        <w:rPr>
          <w:rFonts w:ascii="Times New Roman" w:eastAsia="Times New Roman" w:hAnsi="Times New Roman" w:cs="Times New Roman"/>
          <w:color w:val="000000"/>
          <w:lang w:eastAsia="en-GB"/>
        </w:rPr>
      </w:pPr>
      <w:r w:rsidRPr="003D7341">
        <w:rPr>
          <w:rFonts w:ascii="Times New Roman" w:eastAsia="Times New Roman" w:hAnsi="Times New Roman" w:cs="Times New Roman"/>
          <w:color w:val="000000"/>
          <w:lang w:eastAsia="en-GB"/>
        </w:rPr>
        <w:t xml:space="preserve">approach the </w:t>
      </w:r>
      <w:r>
        <w:rPr>
          <w:rFonts w:ascii="Times New Roman" w:eastAsia="Times New Roman" w:hAnsi="Times New Roman" w:cs="Times New Roman"/>
          <w:color w:val="000000"/>
          <w:lang w:eastAsia="en-GB"/>
        </w:rPr>
        <w:t>deposit</w:t>
      </w:r>
      <w:r w:rsidRPr="003D7341">
        <w:rPr>
          <w:rFonts w:ascii="Times New Roman" w:eastAsia="Times New Roman" w:hAnsi="Times New Roman" w:cs="Times New Roman"/>
          <w:color w:val="000000"/>
          <w:lang w:eastAsia="en-GB"/>
        </w:rPr>
        <w:t xml:space="preserve"> threshold of 2,000 EUR.  </w:t>
      </w:r>
    </w:p>
    <w:p w14:paraId="42FE6B8C" w14:textId="77777777" w:rsidR="001730B7" w:rsidRDefault="001730B7" w:rsidP="006009EB">
      <w:pPr>
        <w:spacing w:after="0" w:line="300" w:lineRule="exact"/>
        <w:jc w:val="both"/>
        <w:rPr>
          <w:rFonts w:ascii="Times New Roman" w:eastAsia="Times New Roman" w:hAnsi="Times New Roman" w:cs="Times New Roman"/>
          <w:color w:val="000000"/>
          <w:lang w:eastAsia="en-GB"/>
        </w:rPr>
      </w:pPr>
    </w:p>
    <w:p w14:paraId="255A39C9" w14:textId="06C4B272" w:rsidR="000D241E" w:rsidRDefault="004C0452" w:rsidP="006009EB">
      <w:pPr>
        <w:spacing w:after="0" w:line="300" w:lineRule="exact"/>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w:t>
      </w:r>
      <w:r w:rsidR="000D241E" w:rsidRPr="00F34F09">
        <w:rPr>
          <w:rFonts w:ascii="Times New Roman" w:eastAsia="Times New Roman" w:hAnsi="Times New Roman" w:cs="Times New Roman"/>
          <w:color w:val="000000"/>
          <w:lang w:eastAsia="en-GB"/>
        </w:rPr>
        <w:t>he Company is aware that CDD is ongoing and may need updating where there are changes in a customer’s circumstances and personal details.</w:t>
      </w:r>
    </w:p>
    <w:p w14:paraId="11CA9C6A" w14:textId="77777777" w:rsidR="004C0452" w:rsidRPr="00F34F09" w:rsidRDefault="004C0452" w:rsidP="006009EB">
      <w:pPr>
        <w:spacing w:after="0" w:line="300" w:lineRule="exact"/>
        <w:jc w:val="both"/>
        <w:rPr>
          <w:rFonts w:ascii="Times New Roman" w:eastAsia="Times New Roman" w:hAnsi="Times New Roman" w:cs="Times New Roman"/>
          <w:lang w:eastAsia="en-GB"/>
        </w:rPr>
      </w:pPr>
    </w:p>
    <w:p w14:paraId="1167956F" w14:textId="26BF4EA0"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 xml:space="preserve">The CDD </w:t>
      </w:r>
      <w:r w:rsidR="00E27D9F">
        <w:rPr>
          <w:rFonts w:ascii="Times New Roman" w:eastAsia="Times New Roman" w:hAnsi="Times New Roman" w:cs="Times New Roman"/>
          <w:color w:val="000000"/>
          <w:lang w:eastAsia="en-GB"/>
        </w:rPr>
        <w:t xml:space="preserve">includes the customer’s </w:t>
      </w:r>
      <w:r w:rsidRPr="00F34F09">
        <w:rPr>
          <w:rFonts w:ascii="Times New Roman" w:eastAsia="Times New Roman" w:hAnsi="Times New Roman" w:cs="Times New Roman"/>
          <w:color w:val="000000"/>
          <w:lang w:eastAsia="en-GB"/>
        </w:rPr>
        <w:t xml:space="preserve"> name, plus residential address, photo and date of birth </w:t>
      </w:r>
      <w:r w:rsidR="009E663C">
        <w:rPr>
          <w:rFonts w:ascii="Times New Roman" w:eastAsia="Times New Roman" w:hAnsi="Times New Roman" w:cs="Times New Roman"/>
          <w:color w:val="000000"/>
          <w:lang w:eastAsia="en-GB"/>
        </w:rPr>
        <w:t>proved by an i</w:t>
      </w:r>
      <w:r w:rsidRPr="00F34F09">
        <w:rPr>
          <w:rFonts w:ascii="Times New Roman" w:eastAsia="Times New Roman" w:hAnsi="Times New Roman" w:cs="Times New Roman"/>
          <w:color w:val="000000"/>
          <w:lang w:eastAsia="en-GB"/>
        </w:rPr>
        <w:t xml:space="preserve">dentification </w:t>
      </w:r>
      <w:r w:rsidR="009E663C">
        <w:rPr>
          <w:rFonts w:ascii="Times New Roman" w:eastAsia="Times New Roman" w:hAnsi="Times New Roman" w:cs="Times New Roman"/>
          <w:color w:val="000000"/>
          <w:lang w:eastAsia="en-GB"/>
        </w:rPr>
        <w:t>d</w:t>
      </w:r>
      <w:r w:rsidRPr="00F34F09">
        <w:rPr>
          <w:rFonts w:ascii="Times New Roman" w:eastAsia="Times New Roman" w:hAnsi="Times New Roman" w:cs="Times New Roman"/>
          <w:color w:val="000000"/>
          <w:lang w:eastAsia="en-GB"/>
        </w:rPr>
        <w:t>ocuments, and, in some circumstances when requested by the Payment Department, a copy of the payment method used or to be used by the customer.</w:t>
      </w:r>
    </w:p>
    <w:p w14:paraId="4DDC8CC1"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2110A241" w14:textId="43654BE1"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When CDD checks on an existing customer have been completed within one of  the Company’</w:t>
      </w:r>
      <w:r w:rsidR="00A921BF" w:rsidRPr="00F34F09">
        <w:rPr>
          <w:rFonts w:ascii="Times New Roman" w:eastAsia="Times New Roman" w:hAnsi="Times New Roman" w:cs="Times New Roman"/>
          <w:color w:val="000000"/>
          <w:lang w:eastAsia="en-GB"/>
        </w:rPr>
        <w:t>s</w:t>
      </w:r>
      <w:r w:rsidRPr="00F34F09">
        <w:rPr>
          <w:rFonts w:ascii="Times New Roman" w:eastAsia="Times New Roman" w:hAnsi="Times New Roman" w:cs="Times New Roman"/>
          <w:color w:val="000000"/>
          <w:lang w:eastAsia="en-GB"/>
        </w:rPr>
        <w:t xml:space="preserve"> products, CDD will not be conducted again in relation to another product unless a different payment method is used by the customer.</w:t>
      </w:r>
      <w:r w:rsidR="00FB4F55">
        <w:rPr>
          <w:rFonts w:ascii="Times New Roman" w:eastAsia="Times New Roman" w:hAnsi="Times New Roman" w:cs="Times New Roman"/>
          <w:color w:val="000000"/>
          <w:lang w:eastAsia="en-GB"/>
        </w:rPr>
        <w:t xml:space="preserve"> </w:t>
      </w:r>
    </w:p>
    <w:p w14:paraId="162D5ECC"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659A8103" w14:textId="65EF2791" w:rsidR="000D241E" w:rsidRPr="003D69D1" w:rsidRDefault="000D241E" w:rsidP="003D69D1">
      <w:pPr>
        <w:pStyle w:val="ListParagraph"/>
        <w:numPr>
          <w:ilvl w:val="1"/>
          <w:numId w:val="28"/>
        </w:numPr>
        <w:spacing w:after="0" w:line="300" w:lineRule="exact"/>
        <w:jc w:val="both"/>
        <w:textAlignment w:val="baseline"/>
        <w:outlineLvl w:val="2"/>
        <w:rPr>
          <w:rFonts w:ascii="Times New Roman" w:eastAsia="Times New Roman" w:hAnsi="Times New Roman" w:cs="Times New Roman"/>
          <w:b/>
          <w:bCs/>
          <w:color w:val="000000"/>
          <w:lang w:eastAsia="en-GB"/>
        </w:rPr>
      </w:pPr>
      <w:r w:rsidRPr="003D69D1">
        <w:rPr>
          <w:rFonts w:ascii="Times New Roman" w:eastAsia="Times New Roman" w:hAnsi="Times New Roman" w:cs="Times New Roman"/>
          <w:b/>
          <w:bCs/>
          <w:color w:val="000000"/>
          <w:lang w:eastAsia="en-GB"/>
        </w:rPr>
        <w:t>Customer Registration</w:t>
      </w:r>
    </w:p>
    <w:p w14:paraId="4108905A" w14:textId="77777777" w:rsidR="003D69D1" w:rsidRPr="003A3B9B" w:rsidRDefault="003D69D1" w:rsidP="003A3B9B">
      <w:pPr>
        <w:spacing w:after="0" w:line="300" w:lineRule="exact"/>
        <w:ind w:left="360"/>
        <w:jc w:val="both"/>
        <w:textAlignment w:val="baseline"/>
        <w:outlineLvl w:val="2"/>
        <w:rPr>
          <w:rFonts w:ascii="Times New Roman" w:hAnsi="Times New Roman"/>
          <w:b/>
          <w:color w:val="000000"/>
        </w:rPr>
      </w:pPr>
    </w:p>
    <w:p w14:paraId="7354462D" w14:textId="4AA2DEC4" w:rsidR="000D241E" w:rsidRDefault="000D241E" w:rsidP="006009EB">
      <w:pPr>
        <w:spacing w:after="0" w:line="300" w:lineRule="exact"/>
        <w:jc w:val="both"/>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 xml:space="preserve">In order to open an account with  the Company at the web portal </w:t>
      </w:r>
      <w:r w:rsidR="009A3028">
        <w:rPr>
          <w:rFonts w:ascii="Times New Roman" w:eastAsia="Times New Roman" w:hAnsi="Times New Roman" w:cs="Times New Roman"/>
          <w:color w:val="000000"/>
          <w:lang w:eastAsia="en-GB"/>
        </w:rPr>
        <w:t>playbison.com</w:t>
      </w:r>
      <w:r w:rsidR="004C0452">
        <w:rPr>
          <w:rFonts w:ascii="Times New Roman" w:eastAsia="Times New Roman" w:hAnsi="Times New Roman" w:cs="Times New Roman"/>
          <w:color w:val="000000"/>
          <w:lang w:eastAsia="en-GB"/>
        </w:rPr>
        <w:t>,</w:t>
      </w:r>
      <w:r w:rsidRPr="00F34F09">
        <w:rPr>
          <w:rFonts w:ascii="Times New Roman" w:eastAsia="Times New Roman" w:hAnsi="Times New Roman" w:cs="Times New Roman"/>
          <w:lang w:eastAsia="en-GB"/>
        </w:rPr>
        <w:t xml:space="preserve"> </w:t>
      </w:r>
      <w:r w:rsidRPr="00F34F09">
        <w:rPr>
          <w:rFonts w:ascii="Times New Roman" w:eastAsia="Times New Roman" w:hAnsi="Times New Roman" w:cs="Times New Roman"/>
          <w:color w:val="000000"/>
          <w:lang w:eastAsia="en-GB"/>
        </w:rPr>
        <w:t>a customer must first complete the registration process.</w:t>
      </w:r>
    </w:p>
    <w:p w14:paraId="4DDA4F16" w14:textId="6548ECD4" w:rsidR="004C0452" w:rsidRPr="00F34F09" w:rsidRDefault="009A3028" w:rsidP="009A3028">
      <w:pPr>
        <w:tabs>
          <w:tab w:val="left" w:pos="5260"/>
        </w:tabs>
        <w:spacing w:after="0" w:line="300" w:lineRule="exact"/>
        <w:jc w:val="both"/>
        <w:rPr>
          <w:rFonts w:ascii="Times New Roman" w:eastAsia="Times New Roman" w:hAnsi="Times New Roman" w:cs="Times New Roman"/>
          <w:lang w:eastAsia="en-GB"/>
        </w:rPr>
      </w:pPr>
      <w:r>
        <w:rPr>
          <w:rFonts w:ascii="Times New Roman" w:eastAsia="Times New Roman" w:hAnsi="Times New Roman" w:cs="Times New Roman"/>
          <w:lang w:eastAsia="en-GB"/>
        </w:rPr>
        <w:tab/>
      </w:r>
    </w:p>
    <w:p w14:paraId="5A221F98" w14:textId="22CDD386"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The registration details to be filled in by all new customers include the username, password,</w:t>
      </w:r>
      <w:r w:rsidR="004C0452">
        <w:rPr>
          <w:rFonts w:ascii="Times New Roman" w:eastAsia="Times New Roman" w:hAnsi="Times New Roman" w:cs="Times New Roman"/>
          <w:color w:val="000000"/>
          <w:lang w:eastAsia="en-GB"/>
        </w:rPr>
        <w:t xml:space="preserve"> </w:t>
      </w:r>
      <w:r w:rsidRPr="00F34F09">
        <w:rPr>
          <w:rFonts w:ascii="Times New Roman" w:eastAsia="Times New Roman" w:hAnsi="Times New Roman" w:cs="Times New Roman"/>
          <w:color w:val="000000"/>
          <w:lang w:eastAsia="en-GB"/>
        </w:rPr>
        <w:t>first and last name, address, country of residence, date of birth, e-mail address</w:t>
      </w:r>
      <w:r w:rsidR="00783986">
        <w:rPr>
          <w:rFonts w:ascii="Times New Roman" w:eastAsia="Times New Roman" w:hAnsi="Times New Roman" w:cs="Times New Roman"/>
          <w:color w:val="000000"/>
          <w:lang w:eastAsia="en-GB"/>
        </w:rPr>
        <w:t xml:space="preserve"> or </w:t>
      </w:r>
      <w:r w:rsidRPr="00F34F09">
        <w:rPr>
          <w:rFonts w:ascii="Times New Roman" w:eastAsia="Times New Roman" w:hAnsi="Times New Roman" w:cs="Times New Roman"/>
          <w:color w:val="000000"/>
          <w:lang w:eastAsia="en-GB"/>
        </w:rPr>
        <w:t>mobile phone number, and account currency. During registration, customer identification takes place by way of the age verification process.</w:t>
      </w:r>
    </w:p>
    <w:p w14:paraId="6A22F990"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5ACCF702" w14:textId="6DD15B22" w:rsidR="000D241E" w:rsidRDefault="000D241E" w:rsidP="004C0452">
      <w:pPr>
        <w:spacing w:after="0" w:line="300" w:lineRule="exact"/>
        <w:jc w:val="both"/>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lastRenderedPageBreak/>
        <w:t>When a new account is created, a verification activation code is sent to the phone number</w:t>
      </w:r>
      <w:r w:rsidR="004C0452">
        <w:rPr>
          <w:rFonts w:ascii="Times New Roman" w:eastAsia="Times New Roman" w:hAnsi="Times New Roman" w:cs="Times New Roman"/>
          <w:color w:val="000000"/>
          <w:lang w:eastAsia="en-GB"/>
        </w:rPr>
        <w:t xml:space="preserve"> or e-mail</w:t>
      </w:r>
      <w:r w:rsidRPr="00F34F09">
        <w:rPr>
          <w:rFonts w:ascii="Times New Roman" w:eastAsia="Times New Roman" w:hAnsi="Times New Roman" w:cs="Times New Roman"/>
          <w:color w:val="000000"/>
          <w:lang w:eastAsia="en-GB"/>
        </w:rPr>
        <w:t>  specified during the registration process. When the user enters the activation code, the account is then successfully created. Only at this point can the customer deposit money and start placing bets.</w:t>
      </w:r>
    </w:p>
    <w:p w14:paraId="48634E85" w14:textId="77777777" w:rsidR="000D241E" w:rsidRPr="00F34F09" w:rsidRDefault="000D241E" w:rsidP="003A3B9B">
      <w:pPr>
        <w:spacing w:after="0" w:line="300" w:lineRule="exact"/>
        <w:rPr>
          <w:rFonts w:ascii="Times New Roman" w:eastAsia="Times New Roman" w:hAnsi="Times New Roman" w:cs="Times New Roman"/>
          <w:lang w:eastAsia="en-GB"/>
        </w:rPr>
      </w:pPr>
    </w:p>
    <w:p w14:paraId="24C82919" w14:textId="7E357B0F" w:rsidR="000D241E" w:rsidRDefault="000D241E" w:rsidP="006009EB">
      <w:pPr>
        <w:spacing w:after="0" w:line="300" w:lineRule="exact"/>
        <w:jc w:val="both"/>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 xml:space="preserve">Customers must be at least 18 years old and are permitted to register only one player account in their name. No underage users are allowed to play on the websites.  </w:t>
      </w:r>
      <w:r w:rsidR="00783986">
        <w:rPr>
          <w:rFonts w:ascii="Times New Roman" w:eastAsia="Times New Roman" w:hAnsi="Times New Roman" w:cs="Times New Roman"/>
          <w:color w:val="000000"/>
          <w:lang w:eastAsia="en-GB"/>
        </w:rPr>
        <w:t>T</w:t>
      </w:r>
      <w:r w:rsidRPr="00F34F09">
        <w:rPr>
          <w:rFonts w:ascii="Times New Roman" w:eastAsia="Times New Roman" w:hAnsi="Times New Roman" w:cs="Times New Roman"/>
          <w:color w:val="000000"/>
          <w:lang w:eastAsia="en-GB"/>
        </w:rPr>
        <w:t>he Company is committed to prevent underage persons from using its gambling facilities, and will take all necessary steps to ensure they do not register with its remote gaming website. Users who do not have a registered player account will not be allowed to play casino games or place bets.</w:t>
      </w:r>
    </w:p>
    <w:p w14:paraId="487D8480" w14:textId="1250F2FA" w:rsidR="00931F9C" w:rsidRDefault="00931F9C" w:rsidP="006009EB">
      <w:pPr>
        <w:spacing w:after="0" w:line="300" w:lineRule="exact"/>
        <w:jc w:val="both"/>
        <w:rPr>
          <w:rFonts w:ascii="Times New Roman" w:eastAsia="Times New Roman" w:hAnsi="Times New Roman" w:cs="Times New Roman"/>
          <w:color w:val="000000"/>
          <w:lang w:eastAsia="en-GB"/>
        </w:rPr>
      </w:pPr>
    </w:p>
    <w:p w14:paraId="77D464A5" w14:textId="5383AB79" w:rsidR="00F06AC5" w:rsidRDefault="00F06AC5" w:rsidP="000958E7">
      <w:pPr>
        <w:spacing w:after="0" w:line="300" w:lineRule="exact"/>
        <w:jc w:val="both"/>
        <w:rPr>
          <w:rFonts w:ascii="Times New Roman" w:eastAsia="Times New Roman" w:hAnsi="Times New Roman" w:cs="Times New Roman"/>
          <w:color w:val="000000"/>
          <w:lang w:eastAsia="en-GB"/>
        </w:rPr>
      </w:pPr>
      <w:r w:rsidRPr="00F06AC5">
        <w:rPr>
          <w:rFonts w:ascii="Times New Roman" w:eastAsia="Times New Roman" w:hAnsi="Times New Roman" w:cs="Times New Roman"/>
          <w:color w:val="000000"/>
          <w:lang w:eastAsia="en-GB"/>
        </w:rPr>
        <w:t>List of countries from which players are not allowed to be registered is available in Annex 1, attached to this procedure.</w:t>
      </w:r>
    </w:p>
    <w:p w14:paraId="7D9000DC" w14:textId="77777777" w:rsidR="000958E7" w:rsidRPr="00F34F09" w:rsidRDefault="000958E7" w:rsidP="006009EB">
      <w:pPr>
        <w:spacing w:after="0" w:line="300" w:lineRule="exact"/>
        <w:rPr>
          <w:rFonts w:ascii="Times New Roman" w:eastAsia="Times New Roman" w:hAnsi="Times New Roman" w:cs="Times New Roman"/>
          <w:lang w:eastAsia="en-GB"/>
        </w:rPr>
      </w:pPr>
    </w:p>
    <w:p w14:paraId="21382652" w14:textId="64BEF89D" w:rsidR="000D241E" w:rsidRPr="003A3B9B" w:rsidRDefault="000D241E" w:rsidP="003A3B9B">
      <w:pPr>
        <w:pStyle w:val="ListParagraph"/>
        <w:numPr>
          <w:ilvl w:val="1"/>
          <w:numId w:val="28"/>
        </w:numPr>
        <w:spacing w:after="0" w:line="300" w:lineRule="exact"/>
        <w:jc w:val="both"/>
        <w:textAlignment w:val="baseline"/>
        <w:outlineLvl w:val="2"/>
        <w:rPr>
          <w:rFonts w:ascii="Times New Roman" w:hAnsi="Times New Roman"/>
          <w:b/>
          <w:color w:val="000000"/>
        </w:rPr>
      </w:pPr>
      <w:r w:rsidRPr="00F34F09">
        <w:rPr>
          <w:rFonts w:ascii="Times New Roman" w:eastAsia="Times New Roman" w:hAnsi="Times New Roman" w:cs="Times New Roman"/>
          <w:b/>
          <w:bCs/>
          <w:color w:val="000000"/>
          <w:lang w:eastAsia="en-GB"/>
        </w:rPr>
        <w:t>Documentary evidence</w:t>
      </w:r>
    </w:p>
    <w:p w14:paraId="0222CFFD"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52476861" w14:textId="3AF85991" w:rsidR="000D241E" w:rsidRPr="00F34F09" w:rsidRDefault="003170FC"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T</w:t>
      </w:r>
      <w:r w:rsidR="000D241E" w:rsidRPr="00F34F09">
        <w:rPr>
          <w:rFonts w:ascii="Times New Roman" w:eastAsia="Times New Roman" w:hAnsi="Times New Roman" w:cs="Times New Roman"/>
          <w:color w:val="000000"/>
          <w:lang w:eastAsia="en-GB"/>
        </w:rPr>
        <w:t>he Company relies upon documents issued by government departments during</w:t>
      </w:r>
      <w:r w:rsidR="0090368D">
        <w:rPr>
          <w:rFonts w:ascii="Times New Roman" w:eastAsia="Times New Roman" w:hAnsi="Times New Roman" w:cs="Times New Roman"/>
          <w:color w:val="000000"/>
          <w:lang w:eastAsia="en-GB"/>
        </w:rPr>
        <w:t xml:space="preserve"> </w:t>
      </w:r>
      <w:r w:rsidR="000D241E" w:rsidRPr="00F34F09">
        <w:rPr>
          <w:rFonts w:ascii="Times New Roman" w:eastAsia="Times New Roman" w:hAnsi="Times New Roman" w:cs="Times New Roman"/>
          <w:color w:val="000000"/>
          <w:lang w:eastAsia="en-GB"/>
        </w:rPr>
        <w:t>CDD.</w:t>
      </w:r>
    </w:p>
    <w:p w14:paraId="187C27B3"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6E0BB9BE" w14:textId="178CB8D6"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To fulfil the necessary customer identification and verification process,  the Company requires its customers to upload on their websites (under My account -&gt; My documents) a copy of valid identification documents. This request is communicated to the customer via the email address registered. If necessary, the customer may be contacted by phone to further facilitate and enable the verification process. If documents are in a foreign language,  the Company takes appropriate steps to be reasonably satisfied that the documents provide evidence of the customer’s identity, for example, by obtaining a translation of the relevant sections. Such a step would be to request that the customer provide the documents with a certified true translation.</w:t>
      </w:r>
    </w:p>
    <w:p w14:paraId="52E1A54F"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0E07AA9B" w14:textId="18AAB0C2" w:rsidR="000D241E" w:rsidRDefault="000D241E" w:rsidP="006009EB">
      <w:pPr>
        <w:spacing w:after="0" w:line="300" w:lineRule="exact"/>
        <w:jc w:val="both"/>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Only documents issued by government departments and agencies that contain a photograph</w:t>
      </w:r>
      <w:r w:rsidR="0090368D">
        <w:rPr>
          <w:rFonts w:ascii="Times New Roman" w:eastAsia="Times New Roman" w:hAnsi="Times New Roman" w:cs="Times New Roman"/>
          <w:color w:val="000000"/>
          <w:lang w:eastAsia="en-GB"/>
        </w:rPr>
        <w:t xml:space="preserve"> </w:t>
      </w:r>
      <w:r w:rsidRPr="00F34F09">
        <w:rPr>
          <w:rFonts w:ascii="Times New Roman" w:eastAsia="Times New Roman" w:hAnsi="Times New Roman" w:cs="Times New Roman"/>
          <w:color w:val="000000"/>
          <w:lang w:eastAsia="en-GB"/>
        </w:rPr>
        <w:t>are considered reliable to verify the customer’s identity. Government issued documents without a photograph may be used to confirm the current address of the customer (if stated</w:t>
      </w:r>
      <w:r w:rsidR="0090368D">
        <w:rPr>
          <w:rFonts w:ascii="Times New Roman" w:eastAsia="Times New Roman" w:hAnsi="Times New Roman" w:cs="Times New Roman"/>
          <w:color w:val="000000"/>
          <w:lang w:eastAsia="en-GB"/>
        </w:rPr>
        <w:t xml:space="preserve"> </w:t>
      </w:r>
      <w:r w:rsidRPr="00F34F09">
        <w:rPr>
          <w:rFonts w:ascii="Times New Roman" w:eastAsia="Times New Roman" w:hAnsi="Times New Roman" w:cs="Times New Roman"/>
          <w:color w:val="000000"/>
          <w:lang w:eastAsia="en-GB"/>
        </w:rPr>
        <w:t>on the document).</w:t>
      </w:r>
    </w:p>
    <w:p w14:paraId="674BB50D" w14:textId="77777777" w:rsidR="0090368D" w:rsidRPr="00F34F09" w:rsidRDefault="0090368D" w:rsidP="006009EB">
      <w:pPr>
        <w:spacing w:after="0" w:line="300" w:lineRule="exact"/>
        <w:jc w:val="both"/>
        <w:rPr>
          <w:rFonts w:ascii="Times New Roman" w:eastAsia="Times New Roman" w:hAnsi="Times New Roman" w:cs="Times New Roman"/>
          <w:lang w:eastAsia="en-GB"/>
        </w:rPr>
      </w:pPr>
    </w:p>
    <w:p w14:paraId="5728C523" w14:textId="77777777" w:rsidR="000D241E" w:rsidRPr="00D97498" w:rsidRDefault="000D241E" w:rsidP="00D97498">
      <w:pPr>
        <w:spacing w:after="0" w:line="300" w:lineRule="exact"/>
        <w:jc w:val="both"/>
        <w:rPr>
          <w:rFonts w:ascii="Times New Roman" w:eastAsia="Times New Roman" w:hAnsi="Times New Roman" w:cs="Times New Roman"/>
          <w:lang w:eastAsia="en-GB"/>
        </w:rPr>
      </w:pPr>
      <w:r w:rsidRPr="00D97498">
        <w:rPr>
          <w:rFonts w:ascii="Times New Roman" w:eastAsia="Times New Roman" w:hAnsi="Times New Roman" w:cs="Times New Roman"/>
          <w:color w:val="000000"/>
          <w:lang w:eastAsia="en-GB"/>
        </w:rPr>
        <w:t>The following sources may be accepted for verification of customers:</w:t>
      </w:r>
    </w:p>
    <w:p w14:paraId="521FBED5" w14:textId="038543AC" w:rsidR="000D241E" w:rsidRPr="0090368D" w:rsidRDefault="000D241E" w:rsidP="0090368D">
      <w:pPr>
        <w:pStyle w:val="ListParagraph"/>
        <w:numPr>
          <w:ilvl w:val="0"/>
          <w:numId w:val="26"/>
        </w:numPr>
        <w:spacing w:after="0" w:line="300" w:lineRule="exact"/>
        <w:jc w:val="both"/>
        <w:rPr>
          <w:rFonts w:ascii="Times New Roman" w:eastAsia="Times New Roman" w:hAnsi="Times New Roman" w:cs="Times New Roman"/>
          <w:lang w:eastAsia="en-GB"/>
        </w:rPr>
      </w:pPr>
      <w:bookmarkStart w:id="0" w:name="_Hlk73695489"/>
      <w:r w:rsidRPr="0090368D">
        <w:rPr>
          <w:rFonts w:ascii="Times New Roman" w:eastAsia="Times New Roman" w:hAnsi="Times New Roman" w:cs="Times New Roman"/>
          <w:color w:val="000000"/>
          <w:lang w:eastAsia="en-GB"/>
        </w:rPr>
        <w:t>current passport</w:t>
      </w:r>
      <w:r w:rsidR="0016021A">
        <w:rPr>
          <w:rFonts w:ascii="Times New Roman" w:eastAsia="Times New Roman" w:hAnsi="Times New Roman" w:cs="Times New Roman"/>
          <w:color w:val="000000"/>
          <w:lang w:eastAsia="en-GB"/>
        </w:rPr>
        <w:t>;</w:t>
      </w:r>
    </w:p>
    <w:p w14:paraId="26E8D988" w14:textId="3543814F" w:rsidR="000D241E" w:rsidRPr="0090368D" w:rsidRDefault="000D241E" w:rsidP="0090368D">
      <w:pPr>
        <w:pStyle w:val="ListParagraph"/>
        <w:numPr>
          <w:ilvl w:val="0"/>
          <w:numId w:val="26"/>
        </w:numPr>
        <w:spacing w:after="0" w:line="300" w:lineRule="exact"/>
        <w:jc w:val="both"/>
        <w:rPr>
          <w:rFonts w:ascii="Times New Roman" w:eastAsia="Times New Roman" w:hAnsi="Times New Roman" w:cs="Times New Roman"/>
          <w:lang w:eastAsia="en-GB"/>
        </w:rPr>
      </w:pPr>
      <w:r w:rsidRPr="0090368D">
        <w:rPr>
          <w:rFonts w:ascii="Times New Roman" w:eastAsia="Times New Roman" w:hAnsi="Times New Roman" w:cs="Times New Roman"/>
          <w:color w:val="000000"/>
          <w:lang w:eastAsia="en-GB"/>
        </w:rPr>
        <w:t>current photo card driving licence</w:t>
      </w:r>
      <w:r w:rsidR="0016021A">
        <w:rPr>
          <w:rFonts w:ascii="Times New Roman" w:eastAsia="Times New Roman" w:hAnsi="Times New Roman" w:cs="Times New Roman"/>
          <w:color w:val="000000"/>
          <w:lang w:eastAsia="en-GB"/>
        </w:rPr>
        <w:t>;</w:t>
      </w:r>
    </w:p>
    <w:p w14:paraId="4DEDFC50" w14:textId="1F789718" w:rsidR="000D241E" w:rsidRPr="007D174D" w:rsidRDefault="000D241E" w:rsidP="0090368D">
      <w:pPr>
        <w:pStyle w:val="ListParagraph"/>
        <w:numPr>
          <w:ilvl w:val="0"/>
          <w:numId w:val="26"/>
        </w:numPr>
        <w:spacing w:after="0" w:line="300" w:lineRule="exact"/>
        <w:jc w:val="both"/>
        <w:rPr>
          <w:rFonts w:ascii="Times New Roman" w:eastAsia="Times New Roman" w:hAnsi="Times New Roman" w:cs="Times New Roman"/>
          <w:lang w:eastAsia="en-GB"/>
        </w:rPr>
      </w:pPr>
      <w:r w:rsidRPr="0090368D">
        <w:rPr>
          <w:rFonts w:ascii="Times New Roman" w:eastAsia="Times New Roman" w:hAnsi="Times New Roman" w:cs="Times New Roman"/>
          <w:color w:val="000000"/>
          <w:lang w:eastAsia="en-GB"/>
        </w:rPr>
        <w:t>residence permit</w:t>
      </w:r>
      <w:r w:rsidR="0016021A">
        <w:rPr>
          <w:rFonts w:ascii="Times New Roman" w:eastAsia="Times New Roman" w:hAnsi="Times New Roman" w:cs="Times New Roman"/>
          <w:color w:val="000000"/>
          <w:lang w:eastAsia="en-GB"/>
        </w:rPr>
        <w:t>;</w:t>
      </w:r>
    </w:p>
    <w:p w14:paraId="70492B2A" w14:textId="72A43224" w:rsidR="007D174D" w:rsidRPr="0090368D" w:rsidRDefault="007D174D" w:rsidP="0090368D">
      <w:pPr>
        <w:pStyle w:val="ListParagraph"/>
        <w:numPr>
          <w:ilvl w:val="0"/>
          <w:numId w:val="26"/>
        </w:numPr>
        <w:spacing w:after="0" w:line="300" w:lineRule="exact"/>
        <w:jc w:val="both"/>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ID card;</w:t>
      </w:r>
    </w:p>
    <w:p w14:paraId="43266EE5" w14:textId="6E299C7C" w:rsidR="000D241E" w:rsidRPr="0090368D" w:rsidRDefault="000D241E" w:rsidP="0090368D">
      <w:pPr>
        <w:pStyle w:val="ListParagraph"/>
        <w:numPr>
          <w:ilvl w:val="0"/>
          <w:numId w:val="26"/>
        </w:numPr>
        <w:spacing w:after="0" w:line="300" w:lineRule="exact"/>
        <w:jc w:val="both"/>
        <w:rPr>
          <w:rFonts w:ascii="Times New Roman" w:eastAsia="Times New Roman" w:hAnsi="Times New Roman" w:cs="Times New Roman"/>
          <w:lang w:eastAsia="en-GB"/>
        </w:rPr>
      </w:pPr>
      <w:bookmarkStart w:id="1" w:name="_Hlk73695755"/>
      <w:bookmarkEnd w:id="0"/>
      <w:r w:rsidRPr="0090368D">
        <w:rPr>
          <w:rFonts w:ascii="Times New Roman" w:eastAsia="Times New Roman" w:hAnsi="Times New Roman" w:cs="Times New Roman"/>
          <w:color w:val="000000"/>
          <w:lang w:eastAsia="en-GB"/>
        </w:rPr>
        <w:t>council tax bill</w:t>
      </w:r>
      <w:r w:rsidR="0016021A">
        <w:rPr>
          <w:rFonts w:ascii="Times New Roman" w:eastAsia="Times New Roman" w:hAnsi="Times New Roman" w:cs="Times New Roman"/>
          <w:color w:val="000000"/>
          <w:lang w:eastAsia="en-GB"/>
        </w:rPr>
        <w:t>;</w:t>
      </w:r>
    </w:p>
    <w:p w14:paraId="347922FB" w14:textId="0D21D429" w:rsidR="000D241E" w:rsidRPr="0090368D" w:rsidRDefault="000D241E" w:rsidP="0090368D">
      <w:pPr>
        <w:pStyle w:val="ListParagraph"/>
        <w:numPr>
          <w:ilvl w:val="0"/>
          <w:numId w:val="26"/>
        </w:numPr>
        <w:spacing w:after="0" w:line="300" w:lineRule="exact"/>
        <w:jc w:val="both"/>
        <w:rPr>
          <w:rFonts w:ascii="Times New Roman" w:eastAsia="Times New Roman" w:hAnsi="Times New Roman" w:cs="Times New Roman"/>
          <w:lang w:eastAsia="en-GB"/>
        </w:rPr>
      </w:pPr>
      <w:r w:rsidRPr="0090368D">
        <w:rPr>
          <w:rFonts w:ascii="Times New Roman" w:eastAsia="Times New Roman" w:hAnsi="Times New Roman" w:cs="Times New Roman"/>
          <w:color w:val="000000"/>
          <w:lang w:eastAsia="en-GB"/>
        </w:rPr>
        <w:t>utility bill</w:t>
      </w:r>
      <w:r w:rsidR="00964F44">
        <w:rPr>
          <w:rFonts w:ascii="Times New Roman" w:eastAsia="Times New Roman" w:hAnsi="Times New Roman" w:cs="Times New Roman"/>
          <w:color w:val="000000"/>
          <w:lang w:eastAsia="en-GB"/>
        </w:rPr>
        <w:t>;</w:t>
      </w:r>
    </w:p>
    <w:p w14:paraId="7671254F" w14:textId="438EDEE6" w:rsidR="000D241E" w:rsidRPr="007D174D" w:rsidRDefault="000D241E" w:rsidP="000B3A90">
      <w:pPr>
        <w:pStyle w:val="ListParagraph"/>
        <w:numPr>
          <w:ilvl w:val="0"/>
          <w:numId w:val="26"/>
        </w:numPr>
        <w:spacing w:after="0" w:line="300" w:lineRule="exact"/>
        <w:jc w:val="both"/>
        <w:rPr>
          <w:rFonts w:ascii="Times New Roman" w:eastAsia="Times New Roman" w:hAnsi="Times New Roman" w:cs="Times New Roman"/>
          <w:lang w:eastAsia="en-GB"/>
        </w:rPr>
      </w:pPr>
      <w:r w:rsidRPr="007D174D">
        <w:rPr>
          <w:rFonts w:ascii="Times New Roman" w:eastAsia="Times New Roman" w:hAnsi="Times New Roman" w:cs="Times New Roman"/>
          <w:color w:val="000000"/>
          <w:lang w:eastAsia="en-GB"/>
        </w:rPr>
        <w:t>bank</w:t>
      </w:r>
      <w:r w:rsidR="0026276C">
        <w:rPr>
          <w:rFonts w:ascii="Times New Roman" w:eastAsia="Times New Roman" w:hAnsi="Times New Roman" w:cs="Times New Roman"/>
          <w:color w:val="000000"/>
          <w:lang w:eastAsia="en-GB"/>
        </w:rPr>
        <w:t>, credit card,</w:t>
      </w:r>
      <w:r w:rsidRPr="007D174D">
        <w:rPr>
          <w:rFonts w:ascii="Times New Roman" w:eastAsia="Times New Roman" w:hAnsi="Times New Roman" w:cs="Times New Roman"/>
          <w:color w:val="000000"/>
          <w:lang w:eastAsia="en-GB"/>
        </w:rPr>
        <w:t xml:space="preserve"> building society or credit union statement</w:t>
      </w:r>
      <w:r w:rsidR="00964F44">
        <w:rPr>
          <w:rFonts w:ascii="Times New Roman" w:eastAsia="Times New Roman" w:hAnsi="Times New Roman" w:cs="Times New Roman"/>
          <w:color w:val="000000"/>
          <w:lang w:eastAsia="en-GB"/>
        </w:rPr>
        <w:t>;</w:t>
      </w:r>
    </w:p>
    <w:p w14:paraId="1C50F9B2" w14:textId="1B196AE0" w:rsidR="000D241E" w:rsidRPr="0090368D" w:rsidRDefault="000D241E" w:rsidP="0090368D">
      <w:pPr>
        <w:pStyle w:val="ListParagraph"/>
        <w:numPr>
          <w:ilvl w:val="0"/>
          <w:numId w:val="26"/>
        </w:numPr>
        <w:spacing w:after="0" w:line="300" w:lineRule="exact"/>
        <w:jc w:val="both"/>
        <w:rPr>
          <w:rFonts w:ascii="Times New Roman" w:eastAsia="Times New Roman" w:hAnsi="Times New Roman" w:cs="Times New Roman"/>
          <w:lang w:eastAsia="en-GB"/>
        </w:rPr>
      </w:pPr>
      <w:r w:rsidRPr="0090368D">
        <w:rPr>
          <w:rFonts w:ascii="Times New Roman" w:eastAsia="Times New Roman" w:hAnsi="Times New Roman" w:cs="Times New Roman"/>
          <w:color w:val="000000"/>
          <w:lang w:eastAsia="en-GB"/>
        </w:rPr>
        <w:t>local council or housing association rent card or tenancy agreement</w:t>
      </w:r>
      <w:r w:rsidR="0026276C">
        <w:rPr>
          <w:rFonts w:ascii="Times New Roman" w:eastAsia="Times New Roman" w:hAnsi="Times New Roman" w:cs="Times New Roman"/>
          <w:color w:val="000000"/>
          <w:lang w:eastAsia="en-GB"/>
        </w:rPr>
        <w:t>;</w:t>
      </w:r>
    </w:p>
    <w:p w14:paraId="6987F55B" w14:textId="7A99DBA7" w:rsidR="000D241E" w:rsidRPr="0090368D" w:rsidRDefault="000D241E" w:rsidP="0090368D">
      <w:pPr>
        <w:pStyle w:val="ListParagraph"/>
        <w:numPr>
          <w:ilvl w:val="0"/>
          <w:numId w:val="26"/>
        </w:numPr>
        <w:spacing w:after="0" w:line="300" w:lineRule="exact"/>
        <w:jc w:val="both"/>
        <w:rPr>
          <w:rFonts w:ascii="Times New Roman" w:eastAsia="Times New Roman" w:hAnsi="Times New Roman" w:cs="Times New Roman"/>
          <w:lang w:eastAsia="en-GB"/>
        </w:rPr>
      </w:pPr>
      <w:r w:rsidRPr="0090368D">
        <w:rPr>
          <w:rFonts w:ascii="Times New Roman" w:eastAsia="Times New Roman" w:hAnsi="Times New Roman" w:cs="Times New Roman"/>
          <w:color w:val="000000"/>
          <w:lang w:eastAsia="en-GB"/>
        </w:rPr>
        <w:t>house or motor insurance certificate.</w:t>
      </w:r>
    </w:p>
    <w:bookmarkEnd w:id="1"/>
    <w:p w14:paraId="1FDCA024" w14:textId="561CE31B" w:rsidR="000D241E" w:rsidRPr="00F34F09" w:rsidRDefault="000D241E" w:rsidP="006009EB">
      <w:pPr>
        <w:spacing w:after="0" w:line="300" w:lineRule="exact"/>
        <w:rPr>
          <w:rFonts w:ascii="Times New Roman" w:eastAsia="Times New Roman" w:hAnsi="Times New Roman" w:cs="Times New Roman"/>
          <w:lang w:eastAsia="en-GB"/>
        </w:rPr>
      </w:pPr>
    </w:p>
    <w:p w14:paraId="6DF8571F" w14:textId="45E78A10" w:rsidR="000D241E" w:rsidRPr="003A3B9B" w:rsidRDefault="000D241E" w:rsidP="003A3B9B">
      <w:pPr>
        <w:pStyle w:val="ListParagraph"/>
        <w:numPr>
          <w:ilvl w:val="1"/>
          <w:numId w:val="28"/>
        </w:numPr>
        <w:spacing w:after="0" w:line="300" w:lineRule="exact"/>
        <w:jc w:val="both"/>
        <w:textAlignment w:val="baseline"/>
        <w:outlineLvl w:val="2"/>
        <w:rPr>
          <w:rFonts w:ascii="Times New Roman" w:hAnsi="Times New Roman"/>
          <w:b/>
          <w:color w:val="000000"/>
        </w:rPr>
      </w:pPr>
      <w:r w:rsidRPr="00F34F09">
        <w:rPr>
          <w:rFonts w:ascii="Times New Roman" w:eastAsia="Times New Roman" w:hAnsi="Times New Roman" w:cs="Times New Roman"/>
          <w:b/>
          <w:bCs/>
          <w:color w:val="000000"/>
          <w:lang w:eastAsia="en-GB"/>
        </w:rPr>
        <w:t>Enhanced due diligence</w:t>
      </w:r>
      <w:r w:rsidR="00E767B7">
        <w:rPr>
          <w:rFonts w:ascii="Times New Roman" w:eastAsia="Times New Roman" w:hAnsi="Times New Roman" w:cs="Times New Roman"/>
          <w:b/>
          <w:bCs/>
          <w:color w:val="000000"/>
          <w:lang w:eastAsia="en-GB"/>
        </w:rPr>
        <w:t xml:space="preserve"> (“EDD”)</w:t>
      </w:r>
    </w:p>
    <w:p w14:paraId="6B333C7E"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27A48DE9" w14:textId="021D3C75"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 xml:space="preserve">Under the Regulations, there are </w:t>
      </w:r>
      <w:r w:rsidR="0035212E">
        <w:rPr>
          <w:rFonts w:ascii="Times New Roman" w:eastAsia="Times New Roman" w:hAnsi="Times New Roman" w:cs="Times New Roman"/>
          <w:color w:val="000000"/>
          <w:lang w:eastAsia="en-GB"/>
        </w:rPr>
        <w:t>following</w:t>
      </w:r>
      <w:r w:rsidRPr="00F34F09">
        <w:rPr>
          <w:rFonts w:ascii="Times New Roman" w:eastAsia="Times New Roman" w:hAnsi="Times New Roman" w:cs="Times New Roman"/>
          <w:color w:val="000000"/>
          <w:lang w:eastAsia="en-GB"/>
        </w:rPr>
        <w:t xml:space="preserve"> circumstances in which EDD on customers should be carried out, which goes beyond identifying them and verifying their identity. These are:</w:t>
      </w:r>
    </w:p>
    <w:p w14:paraId="6EE4D8EA" w14:textId="738187E9" w:rsidR="000D241E" w:rsidRPr="00D97498" w:rsidRDefault="000D241E" w:rsidP="00D97498">
      <w:pPr>
        <w:pStyle w:val="ListParagraph"/>
        <w:numPr>
          <w:ilvl w:val="0"/>
          <w:numId w:val="27"/>
        </w:numPr>
        <w:spacing w:after="0" w:line="300" w:lineRule="exact"/>
        <w:jc w:val="both"/>
        <w:rPr>
          <w:rFonts w:ascii="Times New Roman" w:eastAsia="Times New Roman" w:hAnsi="Times New Roman" w:cs="Times New Roman"/>
          <w:lang w:eastAsia="en-GB"/>
        </w:rPr>
      </w:pPr>
      <w:r w:rsidRPr="00D97498">
        <w:rPr>
          <w:rFonts w:ascii="Times New Roman" w:eastAsia="Times New Roman" w:hAnsi="Times New Roman" w:cs="Times New Roman"/>
          <w:color w:val="000000"/>
          <w:lang w:eastAsia="en-GB"/>
        </w:rPr>
        <w:t>when the customer is a PEP;</w:t>
      </w:r>
    </w:p>
    <w:p w14:paraId="5C628ED4" w14:textId="4B47ECB5" w:rsidR="000D241E" w:rsidRPr="00D97498" w:rsidRDefault="000D241E" w:rsidP="00D97498">
      <w:pPr>
        <w:pStyle w:val="ListParagraph"/>
        <w:numPr>
          <w:ilvl w:val="0"/>
          <w:numId w:val="27"/>
        </w:numPr>
        <w:spacing w:after="0" w:line="300" w:lineRule="exact"/>
        <w:jc w:val="both"/>
        <w:rPr>
          <w:rFonts w:ascii="Times New Roman" w:eastAsia="Times New Roman" w:hAnsi="Times New Roman" w:cs="Times New Roman"/>
          <w:lang w:eastAsia="en-GB"/>
        </w:rPr>
      </w:pPr>
      <w:r w:rsidRPr="00D97498">
        <w:rPr>
          <w:rFonts w:ascii="Times New Roman" w:eastAsia="Times New Roman" w:hAnsi="Times New Roman" w:cs="Times New Roman"/>
          <w:color w:val="000000"/>
          <w:lang w:eastAsia="en-GB"/>
        </w:rPr>
        <w:lastRenderedPageBreak/>
        <w:t>in any other situation where the customer presents a higher risk of money laundering or terrorist financing (e.g. a high spending customer).</w:t>
      </w:r>
    </w:p>
    <w:p w14:paraId="2E313277" w14:textId="77777777" w:rsidR="00D97498" w:rsidRDefault="00D97498" w:rsidP="006009EB">
      <w:pPr>
        <w:spacing w:after="0" w:line="300" w:lineRule="exact"/>
        <w:jc w:val="both"/>
        <w:rPr>
          <w:rFonts w:ascii="Times New Roman" w:eastAsia="Times New Roman" w:hAnsi="Times New Roman" w:cs="Times New Roman"/>
          <w:color w:val="000000"/>
          <w:lang w:eastAsia="en-GB"/>
        </w:rPr>
      </w:pPr>
    </w:p>
    <w:p w14:paraId="4C0E44BD" w14:textId="2150A75C"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In relation to PEPs and other customers that present a higher risk of money laundering or terrorist financing,  the Company will seek to obtain evidence of the customer’s source of funds. This evidence may include:</w:t>
      </w:r>
    </w:p>
    <w:p w14:paraId="5A6FEBD0" w14:textId="36A507D5" w:rsidR="000D241E" w:rsidRPr="003A3B9B" w:rsidRDefault="000D241E" w:rsidP="003A3B9B">
      <w:pPr>
        <w:pStyle w:val="ListParagraph"/>
        <w:numPr>
          <w:ilvl w:val="0"/>
          <w:numId w:val="27"/>
        </w:numPr>
        <w:spacing w:after="0" w:line="300" w:lineRule="exact"/>
        <w:jc w:val="both"/>
        <w:rPr>
          <w:rFonts w:ascii="Times New Roman" w:hAnsi="Times New Roman"/>
          <w:color w:val="000000"/>
        </w:rPr>
      </w:pPr>
      <w:r w:rsidRPr="00F34F09">
        <w:rPr>
          <w:rFonts w:ascii="Times New Roman" w:eastAsia="Times New Roman" w:hAnsi="Times New Roman" w:cs="Times New Roman"/>
          <w:color w:val="000000"/>
          <w:lang w:eastAsia="en-GB"/>
        </w:rPr>
        <w:t>Identification documents provided by the customer (e.g. passport, driving licence, utility bill);</w:t>
      </w:r>
    </w:p>
    <w:p w14:paraId="12B66CA6" w14:textId="742A3A1D" w:rsidR="000D241E" w:rsidRPr="003A3B9B" w:rsidRDefault="000D241E" w:rsidP="003A3B9B">
      <w:pPr>
        <w:pStyle w:val="ListParagraph"/>
        <w:numPr>
          <w:ilvl w:val="0"/>
          <w:numId w:val="27"/>
        </w:numPr>
        <w:spacing w:after="0" w:line="300" w:lineRule="exact"/>
        <w:jc w:val="both"/>
        <w:rPr>
          <w:rFonts w:ascii="Times New Roman" w:hAnsi="Times New Roman"/>
          <w:color w:val="000000"/>
        </w:rPr>
      </w:pPr>
      <w:r w:rsidRPr="00F34F09">
        <w:rPr>
          <w:rFonts w:ascii="Times New Roman" w:eastAsia="Times New Roman" w:hAnsi="Times New Roman" w:cs="Times New Roman"/>
          <w:color w:val="000000"/>
          <w:lang w:eastAsia="en-GB"/>
        </w:rPr>
        <w:t>Business cards provided by the customer;</w:t>
      </w:r>
    </w:p>
    <w:p w14:paraId="7B72C6DC" w14:textId="1304632C" w:rsidR="000D241E" w:rsidRPr="003A3B9B" w:rsidRDefault="000D241E" w:rsidP="003A3B9B">
      <w:pPr>
        <w:pStyle w:val="ListParagraph"/>
        <w:numPr>
          <w:ilvl w:val="0"/>
          <w:numId w:val="27"/>
        </w:numPr>
        <w:spacing w:after="0" w:line="300" w:lineRule="exact"/>
        <w:jc w:val="both"/>
        <w:rPr>
          <w:rFonts w:ascii="Times New Roman" w:hAnsi="Times New Roman"/>
          <w:color w:val="000000"/>
        </w:rPr>
      </w:pPr>
      <w:r w:rsidRPr="00F34F09">
        <w:rPr>
          <w:rFonts w:ascii="Times New Roman" w:eastAsia="Times New Roman" w:hAnsi="Times New Roman" w:cs="Times New Roman"/>
          <w:color w:val="000000"/>
          <w:lang w:eastAsia="en-GB"/>
        </w:rPr>
        <w:t>Information provided by the customer in conversation;</w:t>
      </w:r>
    </w:p>
    <w:p w14:paraId="7D43ECB7" w14:textId="2A5D538C" w:rsidR="000D241E" w:rsidRPr="003A3B9B" w:rsidRDefault="000D241E" w:rsidP="003A3B9B">
      <w:pPr>
        <w:pStyle w:val="ListParagraph"/>
        <w:numPr>
          <w:ilvl w:val="0"/>
          <w:numId w:val="27"/>
        </w:numPr>
        <w:spacing w:after="0" w:line="300" w:lineRule="exact"/>
        <w:jc w:val="both"/>
        <w:rPr>
          <w:rFonts w:ascii="Times New Roman" w:hAnsi="Times New Roman"/>
          <w:color w:val="000000"/>
        </w:rPr>
      </w:pPr>
      <w:r w:rsidRPr="00F34F09">
        <w:rPr>
          <w:rFonts w:ascii="Times New Roman" w:eastAsia="Times New Roman" w:hAnsi="Times New Roman" w:cs="Times New Roman"/>
          <w:color w:val="000000"/>
          <w:lang w:eastAsia="en-GB"/>
        </w:rPr>
        <w:t>Verification of identity using an online provider;</w:t>
      </w:r>
    </w:p>
    <w:p w14:paraId="31DD1FFE" w14:textId="595ADD0D" w:rsidR="000D241E" w:rsidRPr="003A3B9B" w:rsidRDefault="000D241E" w:rsidP="003A3B9B">
      <w:pPr>
        <w:pStyle w:val="ListParagraph"/>
        <w:numPr>
          <w:ilvl w:val="0"/>
          <w:numId w:val="27"/>
        </w:numPr>
        <w:spacing w:after="0" w:line="300" w:lineRule="exact"/>
        <w:jc w:val="both"/>
        <w:rPr>
          <w:rFonts w:ascii="Times New Roman" w:hAnsi="Times New Roman"/>
          <w:color w:val="000000"/>
        </w:rPr>
      </w:pPr>
      <w:r w:rsidRPr="00F34F09">
        <w:rPr>
          <w:rFonts w:ascii="Times New Roman" w:eastAsia="Times New Roman" w:hAnsi="Times New Roman" w:cs="Times New Roman"/>
          <w:color w:val="000000"/>
          <w:lang w:eastAsia="en-GB"/>
        </w:rPr>
        <w:t>Third party acuity and wealth reports;</w:t>
      </w:r>
    </w:p>
    <w:p w14:paraId="0B212254" w14:textId="0DDF2899" w:rsidR="000D241E" w:rsidRPr="003A3B9B" w:rsidRDefault="000D241E" w:rsidP="003A3B9B">
      <w:pPr>
        <w:pStyle w:val="ListParagraph"/>
        <w:numPr>
          <w:ilvl w:val="0"/>
          <w:numId w:val="27"/>
        </w:numPr>
        <w:spacing w:after="0" w:line="300" w:lineRule="exact"/>
        <w:jc w:val="both"/>
        <w:rPr>
          <w:rFonts w:ascii="Times New Roman" w:hAnsi="Times New Roman"/>
          <w:color w:val="000000"/>
        </w:rPr>
      </w:pPr>
      <w:r w:rsidRPr="00F34F09">
        <w:rPr>
          <w:rFonts w:ascii="Times New Roman" w:eastAsia="Times New Roman" w:hAnsi="Times New Roman" w:cs="Times New Roman"/>
          <w:color w:val="000000"/>
          <w:lang w:eastAsia="en-GB"/>
        </w:rPr>
        <w:t>Credit reports;</w:t>
      </w:r>
    </w:p>
    <w:p w14:paraId="112E95D5" w14:textId="45252623" w:rsidR="000D241E" w:rsidRPr="003A3B9B" w:rsidRDefault="000D241E" w:rsidP="003A3B9B">
      <w:pPr>
        <w:pStyle w:val="ListParagraph"/>
        <w:numPr>
          <w:ilvl w:val="0"/>
          <w:numId w:val="27"/>
        </w:numPr>
        <w:spacing w:after="0" w:line="300" w:lineRule="exact"/>
        <w:jc w:val="both"/>
        <w:rPr>
          <w:rFonts w:ascii="Times New Roman" w:hAnsi="Times New Roman"/>
          <w:color w:val="000000"/>
        </w:rPr>
      </w:pPr>
      <w:r w:rsidRPr="00F34F09">
        <w:rPr>
          <w:rFonts w:ascii="Times New Roman" w:eastAsia="Times New Roman" w:hAnsi="Times New Roman" w:cs="Times New Roman"/>
          <w:color w:val="000000"/>
          <w:lang w:eastAsia="en-GB"/>
        </w:rPr>
        <w:t>Information available in the media and on the internet;</w:t>
      </w:r>
    </w:p>
    <w:p w14:paraId="4336D163" w14:textId="3D34DB2A" w:rsidR="000D241E" w:rsidRPr="003A3B9B" w:rsidRDefault="000D241E" w:rsidP="003A3B9B">
      <w:pPr>
        <w:pStyle w:val="ListParagraph"/>
        <w:numPr>
          <w:ilvl w:val="0"/>
          <w:numId w:val="27"/>
        </w:numPr>
        <w:spacing w:after="0" w:line="300" w:lineRule="exact"/>
        <w:jc w:val="both"/>
        <w:rPr>
          <w:rFonts w:ascii="Times New Roman" w:hAnsi="Times New Roman"/>
          <w:color w:val="000000"/>
        </w:rPr>
      </w:pPr>
      <w:r w:rsidRPr="00F34F09">
        <w:rPr>
          <w:rFonts w:ascii="Times New Roman" w:eastAsia="Times New Roman" w:hAnsi="Times New Roman" w:cs="Times New Roman"/>
          <w:color w:val="000000"/>
          <w:lang w:eastAsia="en-GB"/>
        </w:rPr>
        <w:t>Search of PEP databases;</w:t>
      </w:r>
    </w:p>
    <w:p w14:paraId="3F37A93D" w14:textId="42B788FC" w:rsidR="000D241E" w:rsidRPr="003A3B9B" w:rsidRDefault="000D241E" w:rsidP="003A3B9B">
      <w:pPr>
        <w:pStyle w:val="ListParagraph"/>
        <w:numPr>
          <w:ilvl w:val="0"/>
          <w:numId w:val="27"/>
        </w:numPr>
        <w:spacing w:after="0" w:line="300" w:lineRule="exact"/>
        <w:jc w:val="both"/>
        <w:rPr>
          <w:rFonts w:ascii="Times New Roman" w:hAnsi="Times New Roman"/>
          <w:color w:val="000000"/>
        </w:rPr>
      </w:pPr>
      <w:r w:rsidRPr="00F34F09">
        <w:rPr>
          <w:rFonts w:ascii="Times New Roman" w:eastAsia="Times New Roman" w:hAnsi="Times New Roman" w:cs="Times New Roman"/>
          <w:color w:val="000000"/>
          <w:lang w:eastAsia="en-GB"/>
        </w:rPr>
        <w:t>Company registration searches for companies the customer appears to be a</w:t>
      </w:r>
      <w:r w:rsidR="00E843D9">
        <w:rPr>
          <w:rFonts w:ascii="Times New Roman" w:eastAsia="Times New Roman" w:hAnsi="Times New Roman" w:cs="Times New Roman"/>
          <w:color w:val="000000"/>
          <w:lang w:eastAsia="en-GB"/>
        </w:rPr>
        <w:t xml:space="preserve"> </w:t>
      </w:r>
      <w:r w:rsidRPr="00F34F09">
        <w:rPr>
          <w:rFonts w:ascii="Times New Roman" w:eastAsia="Times New Roman" w:hAnsi="Times New Roman" w:cs="Times New Roman"/>
          <w:color w:val="000000"/>
          <w:lang w:eastAsia="en-GB"/>
        </w:rPr>
        <w:t>shareholder or officer.</w:t>
      </w:r>
    </w:p>
    <w:p w14:paraId="55646253"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071CE9D7" w14:textId="18BF7DA5" w:rsidR="000D241E" w:rsidRPr="00F34F09" w:rsidRDefault="00E843D9" w:rsidP="006009EB">
      <w:pPr>
        <w:spacing w:after="0" w:line="300" w:lineRule="exact"/>
        <w:jc w:val="both"/>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T</w:t>
      </w:r>
      <w:r w:rsidR="000D241E" w:rsidRPr="00F34F09">
        <w:rPr>
          <w:rFonts w:ascii="Times New Roman" w:eastAsia="Times New Roman" w:hAnsi="Times New Roman" w:cs="Times New Roman"/>
          <w:color w:val="000000"/>
          <w:lang w:eastAsia="en-GB"/>
        </w:rPr>
        <w:t>he Company will use a mix of sources, including external sources and information taken directly from the customer, for EDD purposes.</w:t>
      </w:r>
    </w:p>
    <w:p w14:paraId="7B438EDB"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69CC58C6" w14:textId="160F0D8E" w:rsidR="000D241E" w:rsidRPr="003A3B9B" w:rsidRDefault="000D241E" w:rsidP="003A3B9B">
      <w:pPr>
        <w:pStyle w:val="ListParagraph"/>
        <w:numPr>
          <w:ilvl w:val="1"/>
          <w:numId w:val="28"/>
        </w:numPr>
        <w:spacing w:after="0" w:line="300" w:lineRule="exact"/>
        <w:jc w:val="both"/>
        <w:textAlignment w:val="baseline"/>
        <w:outlineLvl w:val="2"/>
        <w:rPr>
          <w:rFonts w:ascii="Times New Roman" w:hAnsi="Times New Roman"/>
          <w:b/>
          <w:color w:val="000000"/>
        </w:rPr>
      </w:pPr>
      <w:r w:rsidRPr="00F34F09">
        <w:rPr>
          <w:rFonts w:ascii="Times New Roman" w:eastAsia="Times New Roman" w:hAnsi="Times New Roman" w:cs="Times New Roman"/>
          <w:b/>
          <w:bCs/>
          <w:color w:val="000000"/>
          <w:lang w:eastAsia="en-GB"/>
        </w:rPr>
        <w:t>Requirements procedures</w:t>
      </w:r>
    </w:p>
    <w:p w14:paraId="5F768F73"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626A21B7" w14:textId="2671F4B0" w:rsidR="000D241E" w:rsidRPr="00F34F09" w:rsidRDefault="000D241E" w:rsidP="00E843D9">
      <w:pPr>
        <w:spacing w:after="0" w:line="300" w:lineRule="exact"/>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In the light of the requirements imposed by law and regulations,  the Company adopt</w:t>
      </w:r>
      <w:r w:rsidR="00203F28">
        <w:rPr>
          <w:rFonts w:ascii="Times New Roman" w:eastAsia="Times New Roman" w:hAnsi="Times New Roman" w:cs="Times New Roman"/>
          <w:color w:val="000000"/>
          <w:lang w:eastAsia="en-GB"/>
        </w:rPr>
        <w:t>s</w:t>
      </w:r>
      <w:r w:rsidRPr="00F34F09">
        <w:rPr>
          <w:rFonts w:ascii="Times New Roman" w:eastAsia="Times New Roman" w:hAnsi="Times New Roman" w:cs="Times New Roman"/>
          <w:color w:val="000000"/>
          <w:lang w:eastAsia="en-GB"/>
        </w:rPr>
        <w:t xml:space="preserve"> the following procedure when CDD is triggered:</w:t>
      </w:r>
    </w:p>
    <w:p w14:paraId="1C9C5BC0" w14:textId="0543DEF6" w:rsidR="000D241E" w:rsidRPr="00F34F09" w:rsidRDefault="000D241E" w:rsidP="006009EB">
      <w:pPr>
        <w:spacing w:after="0" w:line="300" w:lineRule="exact"/>
        <w:rPr>
          <w:rFonts w:ascii="Times New Roman" w:eastAsia="Times New Roman" w:hAnsi="Times New Roman" w:cs="Times New Roman"/>
          <w:lang w:eastAsia="en-GB"/>
        </w:rPr>
      </w:pPr>
    </w:p>
    <w:p w14:paraId="3578884D" w14:textId="17CD49CD" w:rsidR="000D241E" w:rsidRPr="00F34F09" w:rsidRDefault="000D241E" w:rsidP="006009EB">
      <w:pPr>
        <w:numPr>
          <w:ilvl w:val="0"/>
          <w:numId w:val="4"/>
        </w:numPr>
        <w:spacing w:after="0" w:line="300" w:lineRule="exact"/>
        <w:jc w:val="both"/>
        <w:textAlignment w:val="baseline"/>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at the point that verification is triggered,  the Company shall not proceed with any withdrawal until the account is fully verified</w:t>
      </w:r>
      <w:r w:rsidR="00E843D9">
        <w:rPr>
          <w:rFonts w:ascii="Times New Roman" w:eastAsia="Times New Roman" w:hAnsi="Times New Roman" w:cs="Times New Roman"/>
          <w:color w:val="000000"/>
          <w:lang w:eastAsia="en-GB"/>
        </w:rPr>
        <w:t>;</w:t>
      </w:r>
    </w:p>
    <w:p w14:paraId="6C11CA9C" w14:textId="39950D6C" w:rsidR="000D241E" w:rsidRPr="00F34F09" w:rsidRDefault="000D241E" w:rsidP="006009EB">
      <w:pPr>
        <w:numPr>
          <w:ilvl w:val="0"/>
          <w:numId w:val="4"/>
        </w:numPr>
        <w:spacing w:after="0" w:line="300" w:lineRule="exact"/>
        <w:jc w:val="both"/>
        <w:textAlignment w:val="baseline"/>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further deposits can be made to that account as long as they too are ‘locked’ into it until CDD is completed</w:t>
      </w:r>
      <w:r w:rsidR="00E843D9">
        <w:rPr>
          <w:rFonts w:ascii="Times New Roman" w:eastAsia="Times New Roman" w:hAnsi="Times New Roman" w:cs="Times New Roman"/>
          <w:color w:val="000000"/>
          <w:lang w:eastAsia="en-GB"/>
        </w:rPr>
        <w:t>;</w:t>
      </w:r>
    </w:p>
    <w:p w14:paraId="0F0F8517" w14:textId="58FA36CB" w:rsidR="000D241E" w:rsidRPr="00E843D9" w:rsidRDefault="000D241E" w:rsidP="0025542F">
      <w:pPr>
        <w:numPr>
          <w:ilvl w:val="0"/>
          <w:numId w:val="4"/>
        </w:numPr>
        <w:spacing w:after="0" w:line="300" w:lineRule="exact"/>
        <w:jc w:val="both"/>
        <w:textAlignment w:val="baseline"/>
        <w:rPr>
          <w:rFonts w:ascii="Times New Roman" w:eastAsia="Times New Roman" w:hAnsi="Times New Roman" w:cs="Times New Roman"/>
          <w:color w:val="000000"/>
          <w:lang w:eastAsia="en-GB"/>
        </w:rPr>
      </w:pPr>
      <w:r w:rsidRPr="00E843D9">
        <w:rPr>
          <w:rFonts w:ascii="Times New Roman" w:eastAsia="Times New Roman" w:hAnsi="Times New Roman" w:cs="Times New Roman"/>
          <w:color w:val="000000"/>
          <w:lang w:eastAsia="en-GB"/>
        </w:rPr>
        <w:t>bets can be made from the account, again providing any winnings are ‘locked’ until</w:t>
      </w:r>
      <w:r w:rsidR="00E843D9">
        <w:rPr>
          <w:rFonts w:ascii="Times New Roman" w:eastAsia="Times New Roman" w:hAnsi="Times New Roman" w:cs="Times New Roman"/>
          <w:color w:val="000000"/>
          <w:lang w:eastAsia="en-GB"/>
        </w:rPr>
        <w:t xml:space="preserve"> </w:t>
      </w:r>
      <w:r w:rsidRPr="00E843D9">
        <w:rPr>
          <w:rFonts w:ascii="Times New Roman" w:eastAsia="Times New Roman" w:hAnsi="Times New Roman" w:cs="Times New Roman"/>
          <w:color w:val="000000"/>
          <w:lang w:eastAsia="en-GB"/>
        </w:rPr>
        <w:t>CDD is completed</w:t>
      </w:r>
      <w:r w:rsidR="00E843D9">
        <w:rPr>
          <w:rFonts w:ascii="Times New Roman" w:eastAsia="Times New Roman" w:hAnsi="Times New Roman" w:cs="Times New Roman"/>
          <w:color w:val="000000"/>
          <w:lang w:eastAsia="en-GB"/>
        </w:rPr>
        <w:t>;</w:t>
      </w:r>
    </w:p>
    <w:p w14:paraId="61717329" w14:textId="1214EEE7" w:rsidR="000D241E" w:rsidRPr="00F34F09" w:rsidRDefault="000D241E" w:rsidP="006009EB">
      <w:pPr>
        <w:numPr>
          <w:ilvl w:val="0"/>
          <w:numId w:val="4"/>
        </w:numPr>
        <w:spacing w:after="0" w:line="300" w:lineRule="exact"/>
        <w:jc w:val="both"/>
        <w:textAlignment w:val="baseline"/>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once CDD is completed, the account can be ‘unlocked’ and business can continue as normal</w:t>
      </w:r>
      <w:r w:rsidR="00E843D9">
        <w:rPr>
          <w:rFonts w:ascii="Times New Roman" w:eastAsia="Times New Roman" w:hAnsi="Times New Roman" w:cs="Times New Roman"/>
          <w:color w:val="000000"/>
          <w:lang w:eastAsia="en-GB"/>
        </w:rPr>
        <w:t>;</w:t>
      </w:r>
    </w:p>
    <w:p w14:paraId="3E821895" w14:textId="4D31C881" w:rsidR="000D241E" w:rsidRPr="001220EF" w:rsidRDefault="000D241E" w:rsidP="001220EF">
      <w:pPr>
        <w:numPr>
          <w:ilvl w:val="0"/>
          <w:numId w:val="4"/>
        </w:numPr>
        <w:spacing w:after="0" w:line="300" w:lineRule="exact"/>
        <w:jc w:val="both"/>
        <w:textAlignment w:val="baseline"/>
        <w:rPr>
          <w:rFonts w:ascii="Times New Roman" w:eastAsia="Times New Roman" w:hAnsi="Times New Roman" w:cs="Times New Roman"/>
          <w:lang w:eastAsia="en-GB"/>
        </w:rPr>
      </w:pPr>
      <w:r w:rsidRPr="00E843D9">
        <w:rPr>
          <w:rFonts w:ascii="Times New Roman" w:eastAsia="Times New Roman" w:hAnsi="Times New Roman" w:cs="Times New Roman"/>
          <w:color w:val="000000"/>
          <w:lang w:eastAsia="en-GB"/>
        </w:rPr>
        <w:t>if CDD cannot be completed, then  the Company will terminate the</w:t>
      </w:r>
      <w:r w:rsidR="00E843D9" w:rsidRPr="00E843D9">
        <w:rPr>
          <w:rFonts w:ascii="Times New Roman" w:eastAsia="Times New Roman" w:hAnsi="Times New Roman" w:cs="Times New Roman"/>
          <w:color w:val="000000"/>
          <w:lang w:eastAsia="en-GB"/>
        </w:rPr>
        <w:t xml:space="preserve"> </w:t>
      </w:r>
      <w:r w:rsidRPr="00E843D9">
        <w:rPr>
          <w:rFonts w:ascii="Times New Roman" w:eastAsia="Times New Roman" w:hAnsi="Times New Roman" w:cs="Times New Roman"/>
          <w:color w:val="000000"/>
          <w:lang w:eastAsia="en-GB"/>
        </w:rPr>
        <w:t>business relationship with the customer</w:t>
      </w:r>
      <w:r w:rsidR="001220EF">
        <w:rPr>
          <w:rFonts w:ascii="Times New Roman" w:eastAsia="Times New Roman" w:hAnsi="Times New Roman" w:cs="Times New Roman"/>
          <w:color w:val="000000"/>
          <w:lang w:eastAsia="en-GB"/>
        </w:rPr>
        <w:t>;</w:t>
      </w:r>
    </w:p>
    <w:p w14:paraId="09E5D176" w14:textId="77777777" w:rsidR="001220EF" w:rsidRPr="00F34F09" w:rsidRDefault="001220EF" w:rsidP="001220EF">
      <w:pPr>
        <w:spacing w:after="0" w:line="300" w:lineRule="exact"/>
        <w:ind w:left="720"/>
        <w:jc w:val="both"/>
        <w:textAlignment w:val="baseline"/>
        <w:rPr>
          <w:rFonts w:ascii="Times New Roman" w:eastAsia="Times New Roman" w:hAnsi="Times New Roman" w:cs="Times New Roman"/>
          <w:lang w:eastAsia="en-GB"/>
        </w:rPr>
      </w:pPr>
    </w:p>
    <w:p w14:paraId="1FF5E106" w14:textId="77777777"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Risk assessments are undertaken which include the following:</w:t>
      </w:r>
    </w:p>
    <w:p w14:paraId="768EE7CE" w14:textId="3BC93B29" w:rsidR="000D241E" w:rsidRPr="001220EF" w:rsidRDefault="000D241E" w:rsidP="00DF2731">
      <w:pPr>
        <w:numPr>
          <w:ilvl w:val="0"/>
          <w:numId w:val="6"/>
        </w:numPr>
        <w:spacing w:after="0" w:line="300" w:lineRule="exact"/>
        <w:jc w:val="both"/>
        <w:textAlignment w:val="baseline"/>
        <w:rPr>
          <w:rFonts w:ascii="Times New Roman" w:eastAsia="Times New Roman" w:hAnsi="Times New Roman" w:cs="Times New Roman"/>
          <w:lang w:eastAsia="en-GB"/>
        </w:rPr>
      </w:pPr>
      <w:r w:rsidRPr="001220EF">
        <w:rPr>
          <w:rFonts w:ascii="Times New Roman" w:eastAsia="Times New Roman" w:hAnsi="Times New Roman" w:cs="Times New Roman"/>
          <w:color w:val="000000"/>
          <w:lang w:eastAsia="en-GB"/>
        </w:rPr>
        <w:t>multiple destinations – is the customer requesting that the money be sent to several</w:t>
      </w:r>
      <w:r w:rsidR="001220EF" w:rsidRPr="001220EF">
        <w:rPr>
          <w:rFonts w:ascii="Times New Roman" w:eastAsia="Times New Roman" w:hAnsi="Times New Roman" w:cs="Times New Roman"/>
          <w:color w:val="000000"/>
          <w:lang w:eastAsia="en-GB"/>
        </w:rPr>
        <w:t xml:space="preserve"> </w:t>
      </w:r>
      <w:r w:rsidRPr="001220EF">
        <w:rPr>
          <w:rFonts w:ascii="Times New Roman" w:eastAsia="Times New Roman" w:hAnsi="Times New Roman" w:cs="Times New Roman"/>
          <w:color w:val="000000"/>
          <w:lang w:eastAsia="en-GB"/>
        </w:rPr>
        <w:t>bank accounts</w:t>
      </w:r>
      <w:r w:rsidR="001220EF">
        <w:rPr>
          <w:rFonts w:ascii="Times New Roman" w:eastAsia="Times New Roman" w:hAnsi="Times New Roman" w:cs="Times New Roman"/>
          <w:color w:val="000000"/>
          <w:lang w:eastAsia="en-GB"/>
        </w:rPr>
        <w:t>;</w:t>
      </w:r>
    </w:p>
    <w:p w14:paraId="6D244FF6" w14:textId="3A8E2833" w:rsidR="000D241E" w:rsidRPr="001220EF" w:rsidRDefault="000D241E" w:rsidP="00E74C1E">
      <w:pPr>
        <w:numPr>
          <w:ilvl w:val="0"/>
          <w:numId w:val="7"/>
        </w:numPr>
        <w:spacing w:after="0" w:line="300" w:lineRule="exact"/>
        <w:jc w:val="both"/>
        <w:textAlignment w:val="baseline"/>
        <w:rPr>
          <w:rFonts w:ascii="Times New Roman" w:eastAsia="Times New Roman" w:hAnsi="Times New Roman" w:cs="Times New Roman"/>
          <w:lang w:eastAsia="en-GB"/>
        </w:rPr>
      </w:pPr>
      <w:r w:rsidRPr="001220EF">
        <w:rPr>
          <w:rFonts w:ascii="Times New Roman" w:eastAsia="Times New Roman" w:hAnsi="Times New Roman" w:cs="Times New Roman"/>
          <w:color w:val="000000"/>
          <w:lang w:eastAsia="en-GB"/>
        </w:rPr>
        <w:t>high risk destination – is the customer requesting that the money be returned to a</w:t>
      </w:r>
      <w:r w:rsidR="001220EF" w:rsidRPr="001220EF">
        <w:rPr>
          <w:rFonts w:ascii="Times New Roman" w:eastAsia="Times New Roman" w:hAnsi="Times New Roman" w:cs="Times New Roman"/>
          <w:color w:val="000000"/>
          <w:lang w:eastAsia="en-GB"/>
        </w:rPr>
        <w:t xml:space="preserve"> </w:t>
      </w:r>
      <w:r w:rsidRPr="001220EF">
        <w:rPr>
          <w:rFonts w:ascii="Times New Roman" w:eastAsia="Times New Roman" w:hAnsi="Times New Roman" w:cs="Times New Roman"/>
          <w:color w:val="000000"/>
          <w:lang w:eastAsia="en-GB"/>
        </w:rPr>
        <w:t>country where there is a significant money laundering concern</w:t>
      </w:r>
      <w:r w:rsidR="001220EF">
        <w:rPr>
          <w:rFonts w:ascii="Times New Roman" w:eastAsia="Times New Roman" w:hAnsi="Times New Roman" w:cs="Times New Roman"/>
          <w:color w:val="000000"/>
          <w:lang w:eastAsia="en-GB"/>
        </w:rPr>
        <w:t>;</w:t>
      </w:r>
    </w:p>
    <w:p w14:paraId="50BB4733" w14:textId="7AED48A0" w:rsidR="000D241E" w:rsidRPr="001220EF" w:rsidRDefault="000D241E" w:rsidP="00D66892">
      <w:pPr>
        <w:numPr>
          <w:ilvl w:val="0"/>
          <w:numId w:val="8"/>
        </w:numPr>
        <w:spacing w:after="0" w:line="300" w:lineRule="exact"/>
        <w:jc w:val="both"/>
        <w:textAlignment w:val="baseline"/>
        <w:rPr>
          <w:rFonts w:ascii="Times New Roman" w:eastAsia="Times New Roman" w:hAnsi="Times New Roman" w:cs="Times New Roman"/>
          <w:lang w:eastAsia="en-GB"/>
        </w:rPr>
      </w:pPr>
      <w:r w:rsidRPr="001220EF">
        <w:rPr>
          <w:rFonts w:ascii="Times New Roman" w:eastAsia="Times New Roman" w:hAnsi="Times New Roman" w:cs="Times New Roman"/>
          <w:color w:val="000000"/>
          <w:lang w:eastAsia="en-GB"/>
        </w:rPr>
        <w:t>unusual patterns and large transactions - is there an apparent economic or lawful</w:t>
      </w:r>
      <w:r w:rsidR="001220EF" w:rsidRPr="001220EF">
        <w:rPr>
          <w:rFonts w:ascii="Times New Roman" w:eastAsia="Times New Roman" w:hAnsi="Times New Roman" w:cs="Times New Roman"/>
          <w:color w:val="000000"/>
          <w:lang w:eastAsia="en-GB"/>
        </w:rPr>
        <w:t xml:space="preserve"> </w:t>
      </w:r>
      <w:r w:rsidRPr="001220EF">
        <w:rPr>
          <w:rFonts w:ascii="Times New Roman" w:eastAsia="Times New Roman" w:hAnsi="Times New Roman" w:cs="Times New Roman"/>
          <w:color w:val="000000"/>
          <w:lang w:eastAsia="en-GB"/>
        </w:rPr>
        <w:t>purpose behind the transactions</w:t>
      </w:r>
      <w:r w:rsidR="001220EF">
        <w:rPr>
          <w:rFonts w:ascii="Times New Roman" w:eastAsia="Times New Roman" w:hAnsi="Times New Roman" w:cs="Times New Roman"/>
          <w:color w:val="000000"/>
          <w:lang w:eastAsia="en-GB"/>
        </w:rPr>
        <w:t xml:space="preserve">; </w:t>
      </w:r>
    </w:p>
    <w:p w14:paraId="3BA75DF9" w14:textId="5AD73AE5" w:rsidR="000D241E" w:rsidRPr="00F34F09" w:rsidRDefault="000D241E" w:rsidP="006009EB">
      <w:pPr>
        <w:numPr>
          <w:ilvl w:val="0"/>
          <w:numId w:val="9"/>
        </w:numPr>
        <w:spacing w:after="0" w:line="300" w:lineRule="exact"/>
        <w:jc w:val="both"/>
        <w:textAlignment w:val="baseline"/>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very high account turnover - is the turnover consistent with the balance</w:t>
      </w:r>
      <w:r w:rsidR="001220EF">
        <w:rPr>
          <w:rFonts w:ascii="Times New Roman" w:eastAsia="Times New Roman" w:hAnsi="Times New Roman" w:cs="Times New Roman"/>
          <w:color w:val="000000"/>
          <w:lang w:eastAsia="en-GB"/>
        </w:rPr>
        <w:t xml:space="preserve">; </w:t>
      </w:r>
    </w:p>
    <w:p w14:paraId="361D4D9D" w14:textId="160047FA" w:rsidR="000D241E" w:rsidRPr="001220EF" w:rsidRDefault="000D241E" w:rsidP="00A37F3F">
      <w:pPr>
        <w:numPr>
          <w:ilvl w:val="0"/>
          <w:numId w:val="9"/>
        </w:numPr>
        <w:spacing w:after="0" w:line="300" w:lineRule="exact"/>
        <w:jc w:val="both"/>
        <w:textAlignment w:val="baseline"/>
        <w:rPr>
          <w:rFonts w:ascii="Times New Roman" w:eastAsia="Times New Roman" w:hAnsi="Times New Roman" w:cs="Times New Roman"/>
          <w:lang w:eastAsia="en-GB"/>
        </w:rPr>
      </w:pPr>
      <w:r w:rsidRPr="001220EF">
        <w:rPr>
          <w:rFonts w:ascii="Times New Roman" w:eastAsia="Times New Roman" w:hAnsi="Times New Roman" w:cs="Times New Roman"/>
          <w:color w:val="000000"/>
          <w:lang w:eastAsia="en-GB"/>
        </w:rPr>
        <w:t>irregular activity - are the transactions outside of the customer’s regular transaction</w:t>
      </w:r>
      <w:r w:rsidR="001220EF" w:rsidRPr="001220EF">
        <w:rPr>
          <w:rFonts w:ascii="Times New Roman" w:eastAsia="Times New Roman" w:hAnsi="Times New Roman" w:cs="Times New Roman"/>
          <w:color w:val="000000"/>
          <w:lang w:eastAsia="en-GB"/>
        </w:rPr>
        <w:t xml:space="preserve"> </w:t>
      </w:r>
      <w:r w:rsidRPr="001220EF">
        <w:rPr>
          <w:rFonts w:ascii="Times New Roman" w:eastAsia="Times New Roman" w:hAnsi="Times New Roman" w:cs="Times New Roman"/>
          <w:color w:val="000000"/>
          <w:lang w:eastAsia="en-GB"/>
        </w:rPr>
        <w:t>activity</w:t>
      </w:r>
      <w:r w:rsidR="001220EF">
        <w:rPr>
          <w:rFonts w:ascii="Times New Roman" w:eastAsia="Times New Roman" w:hAnsi="Times New Roman" w:cs="Times New Roman"/>
          <w:color w:val="000000"/>
          <w:lang w:eastAsia="en-GB"/>
        </w:rPr>
        <w:t>;</w:t>
      </w:r>
    </w:p>
    <w:p w14:paraId="1D374233" w14:textId="77777777" w:rsidR="000D241E" w:rsidRPr="00F34F09" w:rsidRDefault="000D241E" w:rsidP="006009EB">
      <w:pPr>
        <w:numPr>
          <w:ilvl w:val="0"/>
          <w:numId w:val="10"/>
        </w:numPr>
        <w:spacing w:after="0" w:line="300" w:lineRule="exact"/>
        <w:jc w:val="both"/>
        <w:textAlignment w:val="baseline"/>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ongoing monitoring of the customer’s account and activity.</w:t>
      </w:r>
    </w:p>
    <w:p w14:paraId="6BF360E9"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639F3CCD" w14:textId="77777777"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lastRenderedPageBreak/>
        <w:t>Customer risk assessment is based on the below factors: </w:t>
      </w:r>
    </w:p>
    <w:p w14:paraId="6EEC7397"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001B5003" w14:textId="02C60699" w:rsidR="000D241E" w:rsidRDefault="000D241E" w:rsidP="006009EB">
      <w:pPr>
        <w:spacing w:after="0" w:line="300" w:lineRule="exact"/>
        <w:jc w:val="both"/>
        <w:rPr>
          <w:rFonts w:ascii="Times New Roman" w:eastAsia="Times New Roman" w:hAnsi="Times New Roman" w:cs="Times New Roman"/>
          <w:i/>
          <w:iCs/>
          <w:color w:val="000000"/>
          <w:lang w:eastAsia="en-GB"/>
        </w:rPr>
      </w:pPr>
      <w:r w:rsidRPr="003A3B9B">
        <w:rPr>
          <w:rFonts w:ascii="Times New Roman" w:hAnsi="Times New Roman"/>
          <w:i/>
          <w:color w:val="000000"/>
        </w:rPr>
        <w:t>Customer risk</w:t>
      </w:r>
    </w:p>
    <w:p w14:paraId="01F7BE5A" w14:textId="77777777" w:rsidR="00965FCD" w:rsidRPr="003A3B9B" w:rsidRDefault="00965FCD" w:rsidP="006009EB">
      <w:pPr>
        <w:spacing w:after="0" w:line="300" w:lineRule="exact"/>
        <w:jc w:val="both"/>
        <w:rPr>
          <w:rFonts w:ascii="Times New Roman" w:hAnsi="Times New Roman"/>
          <w:i/>
        </w:rPr>
      </w:pPr>
    </w:p>
    <w:p w14:paraId="32D922C9" w14:textId="77777777"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In order to categorize the players whose activities may indicate a higher risk we scrutinize players who are:</w:t>
      </w:r>
    </w:p>
    <w:p w14:paraId="4F184C7E" w14:textId="3416CB41" w:rsidR="000D241E" w:rsidRPr="00F34F09" w:rsidRDefault="000D241E" w:rsidP="006009EB">
      <w:pPr>
        <w:numPr>
          <w:ilvl w:val="0"/>
          <w:numId w:val="12"/>
        </w:numPr>
        <w:spacing w:after="0" w:line="300" w:lineRule="exact"/>
        <w:jc w:val="both"/>
        <w:textAlignment w:val="baseline"/>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PEPs, family members of PEPs or known close associates of PEPs</w:t>
      </w:r>
      <w:r w:rsidR="00203F28">
        <w:rPr>
          <w:rFonts w:ascii="Times New Roman" w:eastAsia="Times New Roman" w:hAnsi="Times New Roman" w:cs="Times New Roman"/>
          <w:color w:val="000000"/>
          <w:lang w:eastAsia="en-GB"/>
        </w:rPr>
        <w:t>;</w:t>
      </w:r>
    </w:p>
    <w:p w14:paraId="723B4CF8" w14:textId="168537C8" w:rsidR="000D241E" w:rsidRPr="00F34F09" w:rsidRDefault="000D241E" w:rsidP="006009EB">
      <w:pPr>
        <w:numPr>
          <w:ilvl w:val="0"/>
          <w:numId w:val="12"/>
        </w:numPr>
        <w:spacing w:after="0" w:line="300" w:lineRule="exact"/>
        <w:jc w:val="both"/>
        <w:textAlignment w:val="baseline"/>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high or disproportionate spenders</w:t>
      </w:r>
      <w:r w:rsidR="00203F28">
        <w:rPr>
          <w:rFonts w:ascii="Times New Roman" w:eastAsia="Times New Roman" w:hAnsi="Times New Roman" w:cs="Times New Roman"/>
          <w:color w:val="000000"/>
          <w:lang w:eastAsia="en-GB"/>
        </w:rPr>
        <w:t>;</w:t>
      </w:r>
    </w:p>
    <w:p w14:paraId="6804C612" w14:textId="0FB9A736" w:rsidR="000D241E" w:rsidRPr="00F34F09" w:rsidRDefault="000D241E" w:rsidP="006009EB">
      <w:pPr>
        <w:numPr>
          <w:ilvl w:val="0"/>
          <w:numId w:val="12"/>
        </w:numPr>
        <w:spacing w:after="0" w:line="300" w:lineRule="exact"/>
        <w:jc w:val="both"/>
        <w:textAlignment w:val="baseline"/>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display changing or unusual spending patterns</w:t>
      </w:r>
      <w:r w:rsidR="00203F28">
        <w:rPr>
          <w:rFonts w:ascii="Times New Roman" w:eastAsia="Times New Roman" w:hAnsi="Times New Roman" w:cs="Times New Roman"/>
          <w:color w:val="000000"/>
          <w:lang w:eastAsia="en-GB"/>
        </w:rPr>
        <w:t>;</w:t>
      </w:r>
    </w:p>
    <w:p w14:paraId="1A2F83AC" w14:textId="605074E4" w:rsidR="000D241E" w:rsidRPr="00F34F09" w:rsidRDefault="000D241E" w:rsidP="006009EB">
      <w:pPr>
        <w:numPr>
          <w:ilvl w:val="0"/>
          <w:numId w:val="12"/>
        </w:numPr>
        <w:spacing w:after="0" w:line="300" w:lineRule="exact"/>
        <w:jc w:val="both"/>
        <w:textAlignment w:val="baseline"/>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have international sanctions</w:t>
      </w:r>
      <w:r w:rsidR="00203F28">
        <w:rPr>
          <w:rFonts w:ascii="Times New Roman" w:eastAsia="Times New Roman" w:hAnsi="Times New Roman" w:cs="Times New Roman"/>
          <w:color w:val="000000"/>
          <w:lang w:eastAsia="en-GB"/>
        </w:rPr>
        <w:t>;</w:t>
      </w:r>
    </w:p>
    <w:p w14:paraId="2BDB1CE0" w14:textId="09A14A77" w:rsidR="000D241E" w:rsidRPr="00F34F09" w:rsidRDefault="000D241E" w:rsidP="006009EB">
      <w:pPr>
        <w:numPr>
          <w:ilvl w:val="0"/>
          <w:numId w:val="12"/>
        </w:numPr>
        <w:spacing w:after="0" w:line="300" w:lineRule="exact"/>
        <w:jc w:val="both"/>
        <w:textAlignment w:val="baseline"/>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using third party payment methods</w:t>
      </w:r>
      <w:r w:rsidR="00203F28">
        <w:rPr>
          <w:rFonts w:ascii="Times New Roman" w:eastAsia="Times New Roman" w:hAnsi="Times New Roman" w:cs="Times New Roman"/>
          <w:color w:val="000000"/>
          <w:lang w:eastAsia="en-GB"/>
        </w:rPr>
        <w:t>;</w:t>
      </w:r>
    </w:p>
    <w:p w14:paraId="0FEF8A7B" w14:textId="0BB25F78" w:rsidR="000D241E" w:rsidRPr="00F34F09" w:rsidRDefault="000D241E" w:rsidP="006009EB">
      <w:pPr>
        <w:numPr>
          <w:ilvl w:val="0"/>
          <w:numId w:val="12"/>
        </w:numPr>
        <w:spacing w:after="0" w:line="300" w:lineRule="exact"/>
        <w:jc w:val="both"/>
        <w:textAlignment w:val="baseline"/>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register multiple player accounts to hide their spending levels or to avoid breaching the CDD threshold</w:t>
      </w:r>
      <w:r w:rsidR="00203F28">
        <w:rPr>
          <w:rFonts w:ascii="Times New Roman" w:eastAsia="Times New Roman" w:hAnsi="Times New Roman" w:cs="Times New Roman"/>
          <w:color w:val="000000"/>
          <w:lang w:eastAsia="en-GB"/>
        </w:rPr>
        <w:t>;</w:t>
      </w:r>
    </w:p>
    <w:p w14:paraId="73A040A3" w14:textId="550546D3" w:rsidR="000D241E" w:rsidRPr="00F34F09" w:rsidRDefault="000D241E" w:rsidP="006009EB">
      <w:pPr>
        <w:numPr>
          <w:ilvl w:val="0"/>
          <w:numId w:val="12"/>
        </w:numPr>
        <w:spacing w:after="0" w:line="300" w:lineRule="exact"/>
        <w:jc w:val="both"/>
        <w:textAlignment w:val="baseline"/>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not easily found in open source checks/ whose occupation is unknown</w:t>
      </w:r>
      <w:r w:rsidR="00203F28">
        <w:rPr>
          <w:rFonts w:ascii="Times New Roman" w:eastAsia="Times New Roman" w:hAnsi="Times New Roman" w:cs="Times New Roman"/>
          <w:color w:val="000000"/>
          <w:lang w:eastAsia="en-GB"/>
        </w:rPr>
        <w:t>.</w:t>
      </w:r>
    </w:p>
    <w:p w14:paraId="65DC90A5"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59A5E547" w14:textId="184E40F7" w:rsidR="000D241E" w:rsidRDefault="000D241E" w:rsidP="006009EB">
      <w:pPr>
        <w:spacing w:after="0" w:line="300" w:lineRule="exact"/>
        <w:jc w:val="both"/>
        <w:rPr>
          <w:rFonts w:ascii="Times New Roman" w:eastAsia="Times New Roman" w:hAnsi="Times New Roman" w:cs="Times New Roman"/>
          <w:i/>
          <w:iCs/>
          <w:color w:val="000000"/>
          <w:lang w:eastAsia="en-GB"/>
        </w:rPr>
      </w:pPr>
      <w:r w:rsidRPr="00F34F09">
        <w:rPr>
          <w:rFonts w:ascii="Times New Roman" w:eastAsia="Times New Roman" w:hAnsi="Times New Roman" w:cs="Times New Roman"/>
          <w:i/>
          <w:iCs/>
          <w:color w:val="000000"/>
          <w:lang w:eastAsia="en-GB"/>
        </w:rPr>
        <w:t>Transaction risk </w:t>
      </w:r>
    </w:p>
    <w:p w14:paraId="0D1F0C09" w14:textId="77777777" w:rsidR="00965FCD" w:rsidRPr="00F34F09" w:rsidRDefault="00965FCD" w:rsidP="006009EB">
      <w:pPr>
        <w:spacing w:after="0" w:line="300" w:lineRule="exact"/>
        <w:jc w:val="both"/>
        <w:rPr>
          <w:rFonts w:ascii="Times New Roman" w:eastAsia="Times New Roman" w:hAnsi="Times New Roman" w:cs="Times New Roman"/>
          <w:lang w:eastAsia="en-GB"/>
        </w:rPr>
      </w:pPr>
    </w:p>
    <w:p w14:paraId="66ED58EE" w14:textId="77777777" w:rsidR="001220EF" w:rsidRDefault="001220EF" w:rsidP="006009EB">
      <w:pPr>
        <w:spacing w:after="0" w:line="300" w:lineRule="exact"/>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w:t>
      </w:r>
      <w:r w:rsidR="000D241E" w:rsidRPr="00F34F09">
        <w:rPr>
          <w:rFonts w:ascii="Times New Roman" w:eastAsia="Times New Roman" w:hAnsi="Times New Roman" w:cs="Times New Roman"/>
          <w:color w:val="000000"/>
          <w:lang w:eastAsia="en-GB"/>
        </w:rPr>
        <w:t>igher risk posed by multiple gambling accounts or wallets; players using a number of bank accounts and payment methods; use of prepaid cards and e-wallets; high or unusual payments;  total number of deposit and withdrawal methods; discrepancies between available income information (open source/ declaration) and depositing sums</w:t>
      </w:r>
      <w:r>
        <w:rPr>
          <w:rFonts w:ascii="Times New Roman" w:eastAsia="Times New Roman" w:hAnsi="Times New Roman" w:cs="Times New Roman"/>
          <w:color w:val="000000"/>
          <w:lang w:eastAsia="en-GB"/>
        </w:rPr>
        <w:t>.</w:t>
      </w:r>
    </w:p>
    <w:p w14:paraId="4C59BEBE" w14:textId="00F8E171" w:rsidR="000D241E" w:rsidRPr="00F34F09" w:rsidRDefault="001220EF" w:rsidP="006009EB">
      <w:pPr>
        <w:spacing w:after="0" w:line="300" w:lineRule="exact"/>
        <w:jc w:val="both"/>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 xml:space="preserve"> </w:t>
      </w:r>
    </w:p>
    <w:p w14:paraId="29F752B8" w14:textId="77777777"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The higher the complexity and number of payment methods, the higher the risk should be. </w:t>
      </w:r>
    </w:p>
    <w:p w14:paraId="102D3291" w14:textId="77777777"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 </w:t>
      </w:r>
    </w:p>
    <w:p w14:paraId="30F9905C" w14:textId="69805986" w:rsidR="000D241E" w:rsidRPr="003A3B9B" w:rsidRDefault="000D241E" w:rsidP="006009EB">
      <w:pPr>
        <w:spacing w:after="0" w:line="300" w:lineRule="exact"/>
        <w:jc w:val="both"/>
        <w:rPr>
          <w:rFonts w:ascii="Times New Roman" w:hAnsi="Times New Roman"/>
          <w:i/>
          <w:color w:val="000000"/>
        </w:rPr>
      </w:pPr>
      <w:r w:rsidRPr="003A3B9B">
        <w:rPr>
          <w:rFonts w:ascii="Times New Roman" w:hAnsi="Times New Roman"/>
          <w:i/>
          <w:color w:val="000000"/>
        </w:rPr>
        <w:t>Product risk</w:t>
      </w:r>
    </w:p>
    <w:p w14:paraId="32C48B77" w14:textId="77777777" w:rsidR="00965FCD" w:rsidRPr="00F34F09" w:rsidRDefault="00965FCD" w:rsidP="006009EB">
      <w:pPr>
        <w:spacing w:after="0" w:line="300" w:lineRule="exact"/>
        <w:jc w:val="both"/>
        <w:rPr>
          <w:rFonts w:ascii="Times New Roman" w:eastAsia="Times New Roman" w:hAnsi="Times New Roman" w:cs="Times New Roman"/>
          <w:lang w:eastAsia="en-GB"/>
        </w:rPr>
      </w:pPr>
    </w:p>
    <w:p w14:paraId="7123EF49" w14:textId="593F0778" w:rsidR="000D241E" w:rsidRPr="00F34F09" w:rsidRDefault="00A921BF"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The Company</w:t>
      </w:r>
      <w:r w:rsidR="000D241E" w:rsidRPr="00F34F09">
        <w:rPr>
          <w:rFonts w:ascii="Times New Roman" w:eastAsia="Times New Roman" w:hAnsi="Times New Roman" w:cs="Times New Roman"/>
          <w:color w:val="000000"/>
          <w:lang w:eastAsia="en-GB"/>
        </w:rPr>
        <w:t xml:space="preserve"> offers </w:t>
      </w:r>
      <w:r w:rsidR="00CD47FF">
        <w:rPr>
          <w:rFonts w:ascii="Times New Roman" w:eastAsia="Times New Roman" w:hAnsi="Times New Roman" w:cs="Times New Roman"/>
          <w:color w:val="000000"/>
          <w:lang w:eastAsia="en-GB"/>
        </w:rPr>
        <w:t>c</w:t>
      </w:r>
      <w:r w:rsidR="000D241E" w:rsidRPr="00F34F09">
        <w:rPr>
          <w:rFonts w:ascii="Times New Roman" w:eastAsia="Times New Roman" w:hAnsi="Times New Roman" w:cs="Times New Roman"/>
          <w:color w:val="000000"/>
          <w:lang w:eastAsia="en-GB"/>
        </w:rPr>
        <w:t xml:space="preserve">asino and </w:t>
      </w:r>
      <w:r w:rsidR="00CD47FF">
        <w:rPr>
          <w:rFonts w:ascii="Times New Roman" w:eastAsia="Times New Roman" w:hAnsi="Times New Roman" w:cs="Times New Roman"/>
          <w:color w:val="000000"/>
          <w:lang w:eastAsia="en-GB"/>
        </w:rPr>
        <w:t>l</w:t>
      </w:r>
      <w:r w:rsidR="000D241E" w:rsidRPr="00F34F09">
        <w:rPr>
          <w:rFonts w:ascii="Times New Roman" w:eastAsia="Times New Roman" w:hAnsi="Times New Roman" w:cs="Times New Roman"/>
          <w:color w:val="000000"/>
          <w:lang w:eastAsia="en-GB"/>
        </w:rPr>
        <w:t>ive casino only which is deemed as a low risk</w:t>
      </w:r>
      <w:r w:rsidR="003226B9">
        <w:rPr>
          <w:rFonts w:ascii="Times New Roman" w:eastAsia="Times New Roman" w:hAnsi="Times New Roman" w:cs="Times New Roman"/>
          <w:color w:val="000000"/>
          <w:lang w:eastAsia="en-GB"/>
        </w:rPr>
        <w:t>.</w:t>
      </w:r>
    </w:p>
    <w:p w14:paraId="0A9FC9DF" w14:textId="72C0B64A" w:rsidR="000D241E" w:rsidRPr="00F34F09" w:rsidRDefault="000D241E" w:rsidP="006009EB">
      <w:pPr>
        <w:spacing w:after="0" w:line="300" w:lineRule="exact"/>
        <w:rPr>
          <w:rFonts w:ascii="Times New Roman" w:eastAsia="Times New Roman" w:hAnsi="Times New Roman" w:cs="Times New Roman"/>
          <w:lang w:eastAsia="en-GB"/>
        </w:rPr>
      </w:pPr>
    </w:p>
    <w:p w14:paraId="2F10175A" w14:textId="0A599B19"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 xml:space="preserve">Employees remain vigilant and use their experience and common sense in applying </w:t>
      </w:r>
      <w:r w:rsidR="00A921BF" w:rsidRPr="00F34F09">
        <w:rPr>
          <w:rFonts w:ascii="Times New Roman" w:eastAsia="Times New Roman" w:hAnsi="Times New Roman" w:cs="Times New Roman"/>
          <w:color w:val="000000"/>
          <w:lang w:eastAsia="en-GB"/>
        </w:rPr>
        <w:t>the</w:t>
      </w:r>
      <w:r w:rsidRPr="00F34F09">
        <w:rPr>
          <w:rFonts w:ascii="Times New Roman" w:eastAsia="Times New Roman" w:hAnsi="Times New Roman" w:cs="Times New Roman"/>
          <w:color w:val="000000"/>
          <w:lang w:eastAsia="en-GB"/>
        </w:rPr>
        <w:t xml:space="preserve"> Company risk-based criteria and rules, using guidance from the senior management MLRO or other nominated officer as appropriate.</w:t>
      </w:r>
    </w:p>
    <w:p w14:paraId="175C9909" w14:textId="661E37EE" w:rsidR="000D241E" w:rsidRPr="00F34F09" w:rsidRDefault="000D241E" w:rsidP="006009EB">
      <w:pPr>
        <w:spacing w:after="0" w:line="300" w:lineRule="exact"/>
        <w:rPr>
          <w:rFonts w:ascii="Times New Roman" w:eastAsia="Times New Roman" w:hAnsi="Times New Roman" w:cs="Times New Roman"/>
          <w:lang w:eastAsia="en-GB"/>
        </w:rPr>
      </w:pPr>
    </w:p>
    <w:p w14:paraId="5667B0BB" w14:textId="620E6454" w:rsidR="000D241E" w:rsidRPr="003A3B9B" w:rsidRDefault="000D241E" w:rsidP="003A3B9B">
      <w:pPr>
        <w:pStyle w:val="ListParagraph"/>
        <w:numPr>
          <w:ilvl w:val="1"/>
          <w:numId w:val="28"/>
        </w:numPr>
        <w:spacing w:after="0" w:line="300" w:lineRule="exact"/>
        <w:jc w:val="both"/>
        <w:textAlignment w:val="baseline"/>
        <w:outlineLvl w:val="2"/>
        <w:rPr>
          <w:rFonts w:ascii="Times New Roman" w:hAnsi="Times New Roman"/>
          <w:b/>
          <w:color w:val="000000"/>
        </w:rPr>
      </w:pPr>
      <w:r w:rsidRPr="00F34F09">
        <w:rPr>
          <w:rFonts w:ascii="Times New Roman" w:eastAsia="Times New Roman" w:hAnsi="Times New Roman" w:cs="Times New Roman"/>
          <w:b/>
          <w:bCs/>
          <w:color w:val="000000"/>
          <w:lang w:eastAsia="en-GB"/>
        </w:rPr>
        <w:t>Failure to complete checks</w:t>
      </w:r>
    </w:p>
    <w:p w14:paraId="62F3D431"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549C44E2" w14:textId="389E10DD"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If customer of  the Company is unable to comply with or complete the required CDD or EDD,  the Company will not carry out a transaction with or for the customer through any of the available payment methods. Instead, the customer’s account will be terminated and  the Company will consider making a report to the relevant</w:t>
      </w:r>
      <w:r w:rsidR="003226B9">
        <w:rPr>
          <w:rFonts w:ascii="Times New Roman" w:eastAsia="Times New Roman" w:hAnsi="Times New Roman" w:cs="Times New Roman"/>
          <w:color w:val="000000"/>
          <w:lang w:eastAsia="en-GB"/>
        </w:rPr>
        <w:t xml:space="preserve"> </w:t>
      </w:r>
      <w:r w:rsidRPr="00F34F09">
        <w:rPr>
          <w:rFonts w:ascii="Times New Roman" w:eastAsia="Times New Roman" w:hAnsi="Times New Roman" w:cs="Times New Roman"/>
          <w:color w:val="000000"/>
          <w:lang w:eastAsia="en-GB"/>
        </w:rPr>
        <w:t>authority if there is any sign of money laundering activity.</w:t>
      </w:r>
    </w:p>
    <w:p w14:paraId="0A0B766F"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74CB3C1D" w14:textId="5A1073DD"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All  the Company relevant staff understand that it is an offence to tip off a person that a report has been made. Staff are trained to understand that they must not inform or warn a customer that their transactions have been noted and/or reported, either internally or externally.</w:t>
      </w:r>
    </w:p>
    <w:p w14:paraId="33CE22CA"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06197BC6" w14:textId="5D2BCD45" w:rsidR="000D241E" w:rsidRDefault="000D241E" w:rsidP="003A3B9B">
      <w:pPr>
        <w:numPr>
          <w:ilvl w:val="0"/>
          <w:numId w:val="1"/>
        </w:numPr>
        <w:spacing w:after="0" w:line="300" w:lineRule="exact"/>
        <w:ind w:left="360"/>
        <w:jc w:val="both"/>
        <w:textAlignment w:val="baseline"/>
        <w:outlineLvl w:val="2"/>
        <w:rPr>
          <w:rFonts w:ascii="Times New Roman" w:eastAsia="Times New Roman" w:hAnsi="Times New Roman" w:cs="Times New Roman"/>
          <w:b/>
          <w:bCs/>
          <w:color w:val="000000"/>
          <w:lang w:eastAsia="en-GB"/>
        </w:rPr>
      </w:pPr>
      <w:r w:rsidRPr="00F34F09">
        <w:rPr>
          <w:rFonts w:ascii="Times New Roman" w:eastAsia="Times New Roman" w:hAnsi="Times New Roman" w:cs="Times New Roman"/>
          <w:b/>
          <w:bCs/>
          <w:color w:val="000000"/>
          <w:lang w:eastAsia="en-GB"/>
        </w:rPr>
        <w:t>Ongoing Monitoring</w:t>
      </w:r>
    </w:p>
    <w:p w14:paraId="6345C7E2" w14:textId="77777777" w:rsidR="003226B9" w:rsidRPr="00F34F09" w:rsidRDefault="003226B9" w:rsidP="006009EB">
      <w:pPr>
        <w:spacing w:after="0" w:line="300" w:lineRule="exact"/>
        <w:jc w:val="both"/>
        <w:outlineLvl w:val="2"/>
        <w:rPr>
          <w:rFonts w:ascii="Times New Roman" w:eastAsia="Times New Roman" w:hAnsi="Times New Roman" w:cs="Times New Roman"/>
          <w:b/>
          <w:bCs/>
          <w:lang w:eastAsia="en-GB"/>
        </w:rPr>
      </w:pPr>
    </w:p>
    <w:p w14:paraId="1AAE0CFC" w14:textId="77777777"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lastRenderedPageBreak/>
        <w:t>Monitoring customer activity is carried out using the risk-based approach, with higher risk customers, such as PEPs, being subjected to an appropriate frequency and depth of scrutiny, which is likely to be greater than is appropriate for lower risk customers. Monitoring of customers is done by the relevant employees who monitor customer activity live.</w:t>
      </w:r>
    </w:p>
    <w:p w14:paraId="2234DFEA" w14:textId="07120830" w:rsidR="000D241E" w:rsidRPr="00F34F09" w:rsidRDefault="000D241E" w:rsidP="006009EB">
      <w:pPr>
        <w:spacing w:after="0" w:line="300" w:lineRule="exact"/>
        <w:rPr>
          <w:rFonts w:ascii="Times New Roman" w:eastAsia="Times New Roman" w:hAnsi="Times New Roman" w:cs="Times New Roman"/>
          <w:lang w:eastAsia="en-GB"/>
        </w:rPr>
      </w:pPr>
    </w:p>
    <w:p w14:paraId="617EC89B" w14:textId="746EB956" w:rsidR="000D241E" w:rsidRPr="00F34F09" w:rsidRDefault="00A33D9B" w:rsidP="006009EB">
      <w:pPr>
        <w:spacing w:after="0" w:line="300" w:lineRule="exact"/>
        <w:jc w:val="both"/>
        <w:outlineLvl w:val="2"/>
        <w:rPr>
          <w:rFonts w:ascii="Times New Roman" w:eastAsia="Times New Roman" w:hAnsi="Times New Roman" w:cs="Times New Roman"/>
          <w:b/>
          <w:bCs/>
          <w:lang w:eastAsia="en-GB"/>
        </w:rPr>
      </w:pPr>
      <w:r>
        <w:rPr>
          <w:rFonts w:ascii="Times New Roman" w:eastAsia="Times New Roman" w:hAnsi="Times New Roman" w:cs="Times New Roman"/>
          <w:b/>
          <w:bCs/>
          <w:color w:val="000000"/>
          <w:lang w:eastAsia="en-GB"/>
        </w:rPr>
        <w:t xml:space="preserve">7.1. </w:t>
      </w:r>
      <w:r w:rsidR="000D241E" w:rsidRPr="00F34F09">
        <w:rPr>
          <w:rFonts w:ascii="Times New Roman" w:eastAsia="Times New Roman" w:hAnsi="Times New Roman" w:cs="Times New Roman"/>
          <w:b/>
          <w:bCs/>
          <w:color w:val="000000"/>
          <w:lang w:eastAsia="en-GB"/>
        </w:rPr>
        <w:t>Supporting records</w:t>
      </w:r>
    </w:p>
    <w:p w14:paraId="57E2CFC7"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3349ED98" w14:textId="74A8E5F9"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 xml:space="preserve">The website </w:t>
      </w:r>
      <w:r w:rsidR="009A3028">
        <w:rPr>
          <w:rFonts w:ascii="Times New Roman" w:eastAsia="Times New Roman" w:hAnsi="Times New Roman" w:cs="Times New Roman"/>
          <w:color w:val="000000"/>
          <w:lang w:eastAsia="en-GB"/>
        </w:rPr>
        <w:t>playbison.com</w:t>
      </w:r>
      <w:r w:rsidRPr="00F34F09">
        <w:rPr>
          <w:rFonts w:ascii="Times New Roman" w:eastAsia="Times New Roman" w:hAnsi="Times New Roman" w:cs="Times New Roman"/>
          <w:lang w:eastAsia="en-GB"/>
        </w:rPr>
        <w:t xml:space="preserve"> </w:t>
      </w:r>
      <w:r w:rsidRPr="00F34F09">
        <w:rPr>
          <w:rFonts w:ascii="Times New Roman" w:eastAsia="Times New Roman" w:hAnsi="Times New Roman" w:cs="Times New Roman"/>
          <w:color w:val="000000"/>
          <w:lang w:eastAsia="en-GB"/>
        </w:rPr>
        <w:t>will, by the nature of their business, generate detailed records of all transactions with each customer and for purposes of the record keeping requirements  the Company retains the drop/win figures for each named customer.</w:t>
      </w:r>
    </w:p>
    <w:p w14:paraId="362CB410"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6C04AD77" w14:textId="56C92050" w:rsidR="000D241E" w:rsidRPr="003A3B9B" w:rsidRDefault="000D241E" w:rsidP="003A3B9B">
      <w:pPr>
        <w:numPr>
          <w:ilvl w:val="0"/>
          <w:numId w:val="1"/>
        </w:numPr>
        <w:spacing w:after="0" w:line="300" w:lineRule="exact"/>
        <w:ind w:left="360"/>
        <w:jc w:val="both"/>
        <w:textAlignment w:val="baseline"/>
        <w:outlineLvl w:val="2"/>
        <w:rPr>
          <w:rFonts w:ascii="Times New Roman" w:hAnsi="Times New Roman"/>
          <w:b/>
          <w:color w:val="000000"/>
        </w:rPr>
      </w:pPr>
      <w:r w:rsidRPr="00F34F09">
        <w:rPr>
          <w:rFonts w:ascii="Times New Roman" w:eastAsia="Times New Roman" w:hAnsi="Times New Roman" w:cs="Times New Roman"/>
          <w:b/>
          <w:bCs/>
          <w:color w:val="000000"/>
          <w:lang w:eastAsia="en-GB"/>
        </w:rPr>
        <w:t>Training</w:t>
      </w:r>
    </w:p>
    <w:p w14:paraId="0A7F9E67"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5CEC85BF" w14:textId="342DD126" w:rsidR="000D241E" w:rsidRDefault="000D241E" w:rsidP="006009EB">
      <w:pPr>
        <w:spacing w:after="0" w:line="300" w:lineRule="exact"/>
        <w:jc w:val="both"/>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 xml:space="preserve">All relevant employees of  the Company are given training on AML and CTF, both at induction and by way of refresher training on an annual basis. </w:t>
      </w:r>
      <w:r w:rsidR="003226B9">
        <w:rPr>
          <w:rFonts w:ascii="Times New Roman" w:eastAsia="Times New Roman" w:hAnsi="Times New Roman" w:cs="Times New Roman"/>
          <w:color w:val="000000"/>
          <w:lang w:eastAsia="en-GB"/>
        </w:rPr>
        <w:t>T</w:t>
      </w:r>
      <w:r w:rsidRPr="00F34F09">
        <w:rPr>
          <w:rFonts w:ascii="Times New Roman" w:eastAsia="Times New Roman" w:hAnsi="Times New Roman" w:cs="Times New Roman"/>
          <w:color w:val="000000"/>
          <w:lang w:eastAsia="en-GB"/>
        </w:rPr>
        <w:t>he Company ensures that employees understand the Regulations and apply the Company’s policies and procedures, including the requirements for CDD and, record keeping and STRs/SARs.</w:t>
      </w:r>
    </w:p>
    <w:p w14:paraId="4EBDB88E" w14:textId="77777777" w:rsidR="003226B9" w:rsidRPr="00F34F09" w:rsidRDefault="003226B9" w:rsidP="006009EB">
      <w:pPr>
        <w:spacing w:after="0" w:line="300" w:lineRule="exact"/>
        <w:jc w:val="both"/>
        <w:rPr>
          <w:rFonts w:ascii="Times New Roman" w:eastAsia="Times New Roman" w:hAnsi="Times New Roman" w:cs="Times New Roman"/>
          <w:lang w:eastAsia="en-GB"/>
        </w:rPr>
      </w:pPr>
    </w:p>
    <w:p w14:paraId="78D3D04B" w14:textId="77777777"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The MLRO, nominated officers and employees responsible for completing CDD checks are regularly given training in how to recognise and deal with transactions and other activities which may be related to money laundering or terrorist financing.</w:t>
      </w:r>
    </w:p>
    <w:p w14:paraId="3C7FEEF8" w14:textId="77777777" w:rsidR="00965FCD" w:rsidRPr="00F34F09" w:rsidRDefault="00965FCD" w:rsidP="006009EB">
      <w:pPr>
        <w:spacing w:after="0" w:line="300" w:lineRule="exact"/>
        <w:rPr>
          <w:rFonts w:ascii="Times New Roman" w:eastAsia="Times New Roman" w:hAnsi="Times New Roman" w:cs="Times New Roman"/>
          <w:lang w:eastAsia="en-GB"/>
        </w:rPr>
      </w:pPr>
    </w:p>
    <w:p w14:paraId="77F8A7A1" w14:textId="7CE97181" w:rsidR="000D241E" w:rsidRPr="003A3B9B" w:rsidRDefault="000D241E" w:rsidP="003A3B9B">
      <w:pPr>
        <w:numPr>
          <w:ilvl w:val="0"/>
          <w:numId w:val="1"/>
        </w:numPr>
        <w:spacing w:after="0" w:line="300" w:lineRule="exact"/>
        <w:ind w:left="360"/>
        <w:jc w:val="both"/>
        <w:textAlignment w:val="baseline"/>
        <w:outlineLvl w:val="2"/>
        <w:rPr>
          <w:rFonts w:ascii="Times New Roman" w:hAnsi="Times New Roman"/>
          <w:b/>
          <w:color w:val="000000"/>
        </w:rPr>
      </w:pPr>
      <w:r w:rsidRPr="00F34F09">
        <w:rPr>
          <w:rFonts w:ascii="Times New Roman" w:eastAsia="Times New Roman" w:hAnsi="Times New Roman" w:cs="Times New Roman"/>
          <w:b/>
          <w:bCs/>
          <w:color w:val="000000"/>
          <w:lang w:eastAsia="en-GB"/>
        </w:rPr>
        <w:t>Record Keeping</w:t>
      </w:r>
    </w:p>
    <w:p w14:paraId="1943BF1B"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57072CC6" w14:textId="2190256C" w:rsidR="000D241E" w:rsidRPr="00F34F09" w:rsidRDefault="003226B9" w:rsidP="006009EB">
      <w:pPr>
        <w:spacing w:after="0" w:line="300" w:lineRule="exact"/>
        <w:jc w:val="both"/>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T</w:t>
      </w:r>
      <w:r w:rsidR="000D241E" w:rsidRPr="00F34F09">
        <w:rPr>
          <w:rFonts w:ascii="Times New Roman" w:eastAsia="Times New Roman" w:hAnsi="Times New Roman" w:cs="Times New Roman"/>
          <w:color w:val="000000"/>
          <w:lang w:eastAsia="en-GB"/>
        </w:rPr>
        <w:t>he Company will keep records of the following:</w:t>
      </w:r>
    </w:p>
    <w:p w14:paraId="494D8A16" w14:textId="77777777" w:rsidR="000D241E" w:rsidRPr="00F34F09" w:rsidRDefault="000D241E" w:rsidP="006009EB">
      <w:pPr>
        <w:numPr>
          <w:ilvl w:val="0"/>
          <w:numId w:val="13"/>
        </w:numPr>
        <w:spacing w:after="0" w:line="300" w:lineRule="exact"/>
        <w:jc w:val="both"/>
        <w:textAlignment w:val="baseline"/>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Customer interactions - Details of all customer interactions and relationships including which employee dealt with the interaction, what was asked, why an interaction was made and the outcome of the interaction.</w:t>
      </w:r>
    </w:p>
    <w:p w14:paraId="3EB745E2" w14:textId="0F41C1EE" w:rsidR="000D241E" w:rsidRPr="00F34F09" w:rsidRDefault="000D241E" w:rsidP="006009EB">
      <w:pPr>
        <w:numPr>
          <w:ilvl w:val="0"/>
          <w:numId w:val="13"/>
        </w:numPr>
        <w:spacing w:after="0" w:line="300" w:lineRule="exact"/>
        <w:jc w:val="both"/>
        <w:textAlignment w:val="baseline"/>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MLRO - The decision made when receiving a STR, training received from external organisations and given to employees, details of AML tasks assigned to employees, reports sent to the authorities, decisions made by the authorities on SARs and the action  the Company will take after the authorities has made their decision.</w:t>
      </w:r>
    </w:p>
    <w:p w14:paraId="1800CB6A" w14:textId="77777777" w:rsidR="000D241E" w:rsidRPr="00F34F09" w:rsidRDefault="000D241E" w:rsidP="006009EB">
      <w:pPr>
        <w:numPr>
          <w:ilvl w:val="0"/>
          <w:numId w:val="13"/>
        </w:numPr>
        <w:spacing w:after="0" w:line="300" w:lineRule="exact"/>
        <w:jc w:val="both"/>
        <w:textAlignment w:val="baseline"/>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Risk-based approach - Details of steps taken to manage and mitigate risks of crime and disorder.</w:t>
      </w:r>
    </w:p>
    <w:p w14:paraId="718872F4" w14:textId="77777777" w:rsidR="000D241E" w:rsidRPr="00F34F09" w:rsidRDefault="000D241E" w:rsidP="006009EB">
      <w:pPr>
        <w:numPr>
          <w:ilvl w:val="0"/>
          <w:numId w:val="13"/>
        </w:numPr>
        <w:spacing w:after="0" w:line="300" w:lineRule="exact"/>
        <w:jc w:val="both"/>
        <w:textAlignment w:val="baseline"/>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Customer identification and verification information, including copies of any enhanced due diligence documentation.</w:t>
      </w:r>
    </w:p>
    <w:p w14:paraId="1AAEE57E"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42A6C726" w14:textId="31F864DF" w:rsidR="000D241E" w:rsidRDefault="000D241E" w:rsidP="006009EB">
      <w:pPr>
        <w:spacing w:after="0" w:line="300" w:lineRule="exact"/>
        <w:jc w:val="both"/>
        <w:rPr>
          <w:rFonts w:ascii="Times New Roman" w:eastAsia="Times New Roman" w:hAnsi="Times New Roman" w:cs="Times New Roman"/>
          <w:color w:val="000000"/>
          <w:lang w:eastAsia="en-GB"/>
        </w:rPr>
      </w:pPr>
      <w:r w:rsidRPr="00F34F09">
        <w:rPr>
          <w:rFonts w:ascii="Times New Roman" w:eastAsia="Times New Roman" w:hAnsi="Times New Roman" w:cs="Times New Roman"/>
          <w:color w:val="000000"/>
          <w:lang w:eastAsia="en-GB"/>
        </w:rPr>
        <w:t>These records will be kept for a period of at least 5 years.</w:t>
      </w:r>
    </w:p>
    <w:p w14:paraId="1332D55F" w14:textId="7B3026ED" w:rsidR="000D241E" w:rsidRPr="003A3B9B" w:rsidRDefault="000D241E" w:rsidP="003A3B9B">
      <w:pPr>
        <w:numPr>
          <w:ilvl w:val="0"/>
          <w:numId w:val="1"/>
        </w:numPr>
        <w:spacing w:after="0" w:line="300" w:lineRule="exact"/>
        <w:ind w:left="360"/>
        <w:jc w:val="both"/>
        <w:textAlignment w:val="baseline"/>
        <w:outlineLvl w:val="2"/>
        <w:rPr>
          <w:rFonts w:ascii="Times New Roman" w:hAnsi="Times New Roman"/>
          <w:b/>
          <w:color w:val="000000"/>
        </w:rPr>
      </w:pPr>
      <w:r w:rsidRPr="00F34F09">
        <w:rPr>
          <w:rFonts w:ascii="Times New Roman" w:eastAsia="Times New Roman" w:hAnsi="Times New Roman" w:cs="Times New Roman"/>
          <w:b/>
          <w:bCs/>
          <w:color w:val="000000"/>
          <w:lang w:eastAsia="en-GB"/>
        </w:rPr>
        <w:t>Reporting</w:t>
      </w:r>
    </w:p>
    <w:p w14:paraId="20306BD0"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7CA4DD48" w14:textId="4FB446E5"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Where an employee of  the Company has received information, as a result of which they know or suspect, or have reasonable grounds for knowing or suspecting, that a person is engaged in money laundering or terrorist financing, that employee must make an internal note</w:t>
      </w:r>
      <w:r w:rsidR="00A921BF" w:rsidRPr="00F34F09">
        <w:rPr>
          <w:rFonts w:ascii="Times New Roman" w:eastAsia="Times New Roman" w:hAnsi="Times New Roman" w:cs="Times New Roman"/>
          <w:color w:val="000000"/>
          <w:lang w:eastAsia="en-GB"/>
        </w:rPr>
        <w:t xml:space="preserve"> </w:t>
      </w:r>
      <w:r w:rsidRPr="00F34F09">
        <w:rPr>
          <w:rFonts w:ascii="Times New Roman" w:eastAsia="Times New Roman" w:hAnsi="Times New Roman" w:cs="Times New Roman"/>
          <w:color w:val="000000"/>
          <w:lang w:eastAsia="en-GB"/>
        </w:rPr>
        <w:t>report and inform a senior management, an STR, to the MLRO.</w:t>
      </w:r>
    </w:p>
    <w:p w14:paraId="5BCA0160"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6FA3A134" w14:textId="77777777"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 xml:space="preserve">Any STRs are considered by the MLRO, in the light of all other relevant information, to determine whether or not the information contained in the report leads them to form knowledge or suspicion, or </w:t>
      </w:r>
      <w:r w:rsidRPr="00F34F09">
        <w:rPr>
          <w:rFonts w:ascii="Times New Roman" w:eastAsia="Times New Roman" w:hAnsi="Times New Roman" w:cs="Times New Roman"/>
          <w:color w:val="000000"/>
          <w:lang w:eastAsia="en-GB"/>
        </w:rPr>
        <w:lastRenderedPageBreak/>
        <w:t>reasonable grounds for knowledge or suspicion of money laundering or terrorist financing. Where appropriate, the MLRO will make a SAR to the relevant authority and will apply for the appropriate consent required.</w:t>
      </w:r>
    </w:p>
    <w:p w14:paraId="736C4638"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1BCEB5C7" w14:textId="7B76AB44" w:rsidR="000D241E" w:rsidRPr="00F34F09" w:rsidRDefault="000D241E" w:rsidP="003A3B9B">
      <w:pPr>
        <w:numPr>
          <w:ilvl w:val="0"/>
          <w:numId w:val="1"/>
        </w:numPr>
        <w:spacing w:after="0" w:line="300" w:lineRule="exact"/>
        <w:ind w:left="360"/>
        <w:jc w:val="both"/>
        <w:textAlignment w:val="baseline"/>
        <w:outlineLvl w:val="2"/>
        <w:rPr>
          <w:rFonts w:ascii="Times New Roman" w:eastAsia="Times New Roman" w:hAnsi="Times New Roman" w:cs="Times New Roman"/>
          <w:b/>
          <w:bCs/>
          <w:lang w:eastAsia="en-GB"/>
        </w:rPr>
      </w:pPr>
      <w:r w:rsidRPr="00F34F09">
        <w:rPr>
          <w:rFonts w:ascii="Times New Roman" w:eastAsia="Times New Roman" w:hAnsi="Times New Roman" w:cs="Times New Roman"/>
          <w:b/>
          <w:bCs/>
          <w:color w:val="000000"/>
          <w:lang w:eastAsia="en-GB"/>
        </w:rPr>
        <w:t>Collusion and cheating</w:t>
      </w:r>
    </w:p>
    <w:p w14:paraId="64204844"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458142A7" w14:textId="12953742" w:rsidR="000D241E" w:rsidRPr="00F34F09" w:rsidRDefault="00CD47FF" w:rsidP="006009EB">
      <w:pPr>
        <w:spacing w:after="0" w:line="300" w:lineRule="exact"/>
        <w:jc w:val="both"/>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T</w:t>
      </w:r>
      <w:r w:rsidR="000D241E" w:rsidRPr="00F34F09">
        <w:rPr>
          <w:rFonts w:ascii="Times New Roman" w:eastAsia="Times New Roman" w:hAnsi="Times New Roman" w:cs="Times New Roman"/>
          <w:color w:val="000000"/>
          <w:lang w:eastAsia="en-GB"/>
        </w:rPr>
        <w:t xml:space="preserve">he Company has systems to detect cheating, collusion or illegal activity, including suspicious and large transaction alerts, risk management solutions to monitor customer transactions and online risk solutions. Where suspicious activity is identified, the customer’s account will be reviewed and this will be reported to the </w:t>
      </w:r>
      <w:r w:rsidR="00A921BF" w:rsidRPr="00F34F09">
        <w:rPr>
          <w:rFonts w:ascii="Times New Roman" w:eastAsia="Times New Roman" w:hAnsi="Times New Roman" w:cs="Times New Roman"/>
          <w:color w:val="000000"/>
          <w:lang w:eastAsia="en-GB"/>
        </w:rPr>
        <w:t xml:space="preserve">management </w:t>
      </w:r>
      <w:r w:rsidR="000D241E" w:rsidRPr="00F34F09">
        <w:rPr>
          <w:rFonts w:ascii="Times New Roman" w:eastAsia="Times New Roman" w:hAnsi="Times New Roman" w:cs="Times New Roman"/>
          <w:color w:val="000000"/>
          <w:lang w:eastAsia="en-GB"/>
        </w:rPr>
        <w:t>as an STR to the MLRO. The customer’s account will be suspended and where cheating/collusion is identified, the account will be closed and the customer will be reported, where it is deemed necessary.</w:t>
      </w:r>
    </w:p>
    <w:p w14:paraId="0AE6D45E"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546DC981" w14:textId="77777777" w:rsidR="000D241E" w:rsidRPr="00F34F09" w:rsidRDefault="000D241E" w:rsidP="006009EB">
      <w:pPr>
        <w:spacing w:after="0" w:line="300" w:lineRule="exact"/>
        <w:jc w:val="both"/>
        <w:rPr>
          <w:rFonts w:ascii="Times New Roman" w:eastAsia="Times New Roman" w:hAnsi="Times New Roman" w:cs="Times New Roman"/>
          <w:lang w:eastAsia="en-GB"/>
        </w:rPr>
      </w:pPr>
      <w:r w:rsidRPr="00F34F09">
        <w:rPr>
          <w:rFonts w:ascii="Times New Roman" w:eastAsia="Times New Roman" w:hAnsi="Times New Roman" w:cs="Times New Roman"/>
          <w:color w:val="000000"/>
          <w:lang w:eastAsia="en-GB"/>
        </w:rPr>
        <w:t>If an employee is implicated in any cheating, collusion or other illegal activity, they will be suspended pending a full investigation.</w:t>
      </w:r>
    </w:p>
    <w:p w14:paraId="12D82BEA"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0A195F84" w14:textId="017593A8" w:rsidR="000D241E" w:rsidRPr="003A3B9B" w:rsidRDefault="000D241E" w:rsidP="003A3B9B">
      <w:pPr>
        <w:numPr>
          <w:ilvl w:val="0"/>
          <w:numId w:val="1"/>
        </w:numPr>
        <w:spacing w:after="0" w:line="300" w:lineRule="exact"/>
        <w:ind w:left="360"/>
        <w:jc w:val="both"/>
        <w:textAlignment w:val="baseline"/>
        <w:outlineLvl w:val="2"/>
        <w:rPr>
          <w:rFonts w:ascii="Times New Roman" w:hAnsi="Times New Roman"/>
          <w:b/>
          <w:color w:val="000000"/>
        </w:rPr>
      </w:pPr>
      <w:r w:rsidRPr="00F34F09">
        <w:rPr>
          <w:rFonts w:ascii="Times New Roman" w:eastAsia="Times New Roman" w:hAnsi="Times New Roman" w:cs="Times New Roman"/>
          <w:b/>
          <w:bCs/>
          <w:color w:val="000000"/>
          <w:lang w:eastAsia="en-GB"/>
        </w:rPr>
        <w:t>Protection of equipment</w:t>
      </w:r>
    </w:p>
    <w:p w14:paraId="0A720494" w14:textId="77777777" w:rsidR="000D241E" w:rsidRPr="00F34F09" w:rsidRDefault="000D241E" w:rsidP="006009EB">
      <w:pPr>
        <w:spacing w:after="0" w:line="300" w:lineRule="exact"/>
        <w:rPr>
          <w:rFonts w:ascii="Times New Roman" w:eastAsia="Times New Roman" w:hAnsi="Times New Roman" w:cs="Times New Roman"/>
          <w:lang w:eastAsia="en-GB"/>
        </w:rPr>
      </w:pPr>
    </w:p>
    <w:p w14:paraId="7ECC7246" w14:textId="4A5BEED6" w:rsidR="000D241E" w:rsidRPr="00F34F09" w:rsidRDefault="004859C3" w:rsidP="006009EB">
      <w:pPr>
        <w:spacing w:after="0" w:line="300" w:lineRule="exact"/>
        <w:jc w:val="both"/>
        <w:rPr>
          <w:rFonts w:ascii="Times New Roman" w:eastAsia="Times New Roman" w:hAnsi="Times New Roman" w:cs="Times New Roman"/>
          <w:lang w:eastAsia="en-GB"/>
        </w:rPr>
      </w:pPr>
      <w:r>
        <w:rPr>
          <w:rFonts w:ascii="Times New Roman" w:eastAsia="Times New Roman" w:hAnsi="Times New Roman" w:cs="Times New Roman"/>
          <w:color w:val="000000"/>
          <w:lang w:eastAsia="en-GB"/>
        </w:rPr>
        <w:t>T</w:t>
      </w:r>
      <w:r w:rsidR="000D241E" w:rsidRPr="00F34F09">
        <w:rPr>
          <w:rFonts w:ascii="Times New Roman" w:eastAsia="Times New Roman" w:hAnsi="Times New Roman" w:cs="Times New Roman"/>
          <w:color w:val="000000"/>
          <w:lang w:eastAsia="en-GB"/>
        </w:rPr>
        <w:t>he Company ensures that its equipment and business is protected from crime</w:t>
      </w:r>
      <w:r w:rsidR="005F5CE8">
        <w:rPr>
          <w:rFonts w:ascii="Times New Roman" w:eastAsia="Times New Roman" w:hAnsi="Times New Roman" w:cs="Times New Roman"/>
          <w:color w:val="000000"/>
          <w:lang w:eastAsia="en-GB"/>
        </w:rPr>
        <w:t xml:space="preserve"> </w:t>
      </w:r>
      <w:r w:rsidR="000D241E" w:rsidRPr="00F34F09">
        <w:rPr>
          <w:rFonts w:ascii="Times New Roman" w:eastAsia="Times New Roman" w:hAnsi="Times New Roman" w:cs="Times New Roman"/>
          <w:color w:val="000000"/>
          <w:lang w:eastAsia="en-GB"/>
        </w:rPr>
        <w:t>and criminal misuses by</w:t>
      </w:r>
      <w:r w:rsidR="005F5CE8">
        <w:rPr>
          <w:rFonts w:ascii="Times New Roman" w:eastAsia="Times New Roman" w:hAnsi="Times New Roman" w:cs="Times New Roman"/>
          <w:color w:val="000000"/>
          <w:lang w:eastAsia="en-GB"/>
        </w:rPr>
        <w:t>:</w:t>
      </w:r>
    </w:p>
    <w:p w14:paraId="0448D461" w14:textId="16AE3BBF" w:rsidR="000D241E" w:rsidRPr="00F34F09" w:rsidRDefault="006829FE" w:rsidP="006009EB">
      <w:pPr>
        <w:numPr>
          <w:ilvl w:val="0"/>
          <w:numId w:val="14"/>
        </w:numPr>
        <w:spacing w:after="0" w:line="300" w:lineRule="exact"/>
        <w:jc w:val="both"/>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w:t>
      </w:r>
      <w:r w:rsidR="000D241E" w:rsidRPr="00F34F09">
        <w:rPr>
          <w:rFonts w:ascii="Times New Roman" w:eastAsia="Times New Roman" w:hAnsi="Times New Roman" w:cs="Times New Roman"/>
          <w:color w:val="000000"/>
          <w:lang w:eastAsia="en-GB"/>
        </w:rPr>
        <w:t>eeping its premises fully locked when no member of staff is present.</w:t>
      </w:r>
    </w:p>
    <w:p w14:paraId="790844E8" w14:textId="3536CC34" w:rsidR="000D241E" w:rsidRPr="00F34F09" w:rsidRDefault="006829FE" w:rsidP="006009EB">
      <w:pPr>
        <w:numPr>
          <w:ilvl w:val="0"/>
          <w:numId w:val="14"/>
        </w:numPr>
        <w:spacing w:after="0" w:line="300" w:lineRule="exact"/>
        <w:jc w:val="both"/>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w:t>
      </w:r>
      <w:r w:rsidR="000D241E" w:rsidRPr="00F34F09">
        <w:rPr>
          <w:rFonts w:ascii="Times New Roman" w:eastAsia="Times New Roman" w:hAnsi="Times New Roman" w:cs="Times New Roman"/>
          <w:color w:val="000000"/>
          <w:lang w:eastAsia="en-GB"/>
        </w:rPr>
        <w:t>embers of staff access the office by using an in-out log. This will allow tracking of staff members in case of illegal activity.</w:t>
      </w:r>
    </w:p>
    <w:p w14:paraId="4D4876E9" w14:textId="1244C69D" w:rsidR="000D241E" w:rsidRPr="00F34F09" w:rsidRDefault="006829FE" w:rsidP="006009EB">
      <w:pPr>
        <w:numPr>
          <w:ilvl w:val="0"/>
          <w:numId w:val="14"/>
        </w:numPr>
        <w:spacing w:after="0" w:line="300" w:lineRule="exact"/>
        <w:jc w:val="both"/>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w:t>
      </w:r>
      <w:r w:rsidR="000D241E" w:rsidRPr="00F34F09">
        <w:rPr>
          <w:rFonts w:ascii="Times New Roman" w:eastAsia="Times New Roman" w:hAnsi="Times New Roman" w:cs="Times New Roman"/>
          <w:color w:val="000000"/>
          <w:lang w:eastAsia="en-GB"/>
        </w:rPr>
        <w:t>omputer equipment is protected by user-log out and password protected screensavers whenever it is left unattended, or outside office hours.</w:t>
      </w:r>
    </w:p>
    <w:p w14:paraId="7006A195" w14:textId="73843D73" w:rsidR="000D241E" w:rsidRPr="00F34F09" w:rsidRDefault="006829FE" w:rsidP="006009EB">
      <w:pPr>
        <w:numPr>
          <w:ilvl w:val="0"/>
          <w:numId w:val="14"/>
        </w:numPr>
        <w:spacing w:after="0" w:line="300" w:lineRule="exact"/>
        <w:jc w:val="both"/>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w:t>
      </w:r>
      <w:r w:rsidR="000D241E" w:rsidRPr="00F34F09">
        <w:rPr>
          <w:rFonts w:ascii="Times New Roman" w:eastAsia="Times New Roman" w:hAnsi="Times New Roman" w:cs="Times New Roman"/>
          <w:color w:val="000000"/>
          <w:lang w:eastAsia="en-GB"/>
        </w:rPr>
        <w:t>he office premises are kept secure.</w:t>
      </w:r>
    </w:p>
    <w:p w14:paraId="2CACD38F" w14:textId="77777777" w:rsidR="001730B7" w:rsidRPr="001730B7" w:rsidRDefault="001730B7" w:rsidP="004859C3">
      <w:pPr>
        <w:pStyle w:val="ListParagraph"/>
        <w:spacing w:after="0" w:line="300" w:lineRule="exact"/>
        <w:jc w:val="both"/>
        <w:textAlignment w:val="baseline"/>
        <w:rPr>
          <w:rFonts w:ascii="Times New Roman" w:eastAsia="Times New Roman" w:hAnsi="Times New Roman" w:cs="Times New Roman"/>
          <w:color w:val="000000"/>
          <w:lang w:eastAsia="en-GB"/>
        </w:rPr>
      </w:pPr>
    </w:p>
    <w:p w14:paraId="7D3CE9D7" w14:textId="1E43DDE8" w:rsidR="001730B7" w:rsidRPr="00B20D61" w:rsidRDefault="00170A61" w:rsidP="00B20D61">
      <w:pPr>
        <w:numPr>
          <w:ilvl w:val="0"/>
          <w:numId w:val="1"/>
        </w:numPr>
        <w:spacing w:after="0" w:line="300" w:lineRule="exact"/>
        <w:ind w:left="360"/>
        <w:jc w:val="both"/>
        <w:textAlignment w:val="baseline"/>
        <w:outlineLvl w:val="2"/>
        <w:rPr>
          <w:rFonts w:ascii="Times New Roman" w:eastAsia="Times New Roman" w:hAnsi="Times New Roman" w:cs="Times New Roman"/>
          <w:b/>
          <w:bCs/>
          <w:color w:val="000000"/>
          <w:lang w:eastAsia="en-GB"/>
        </w:rPr>
      </w:pPr>
      <w:r w:rsidRPr="00B20D61">
        <w:rPr>
          <w:rFonts w:ascii="Times New Roman" w:eastAsia="Times New Roman" w:hAnsi="Times New Roman" w:cs="Times New Roman"/>
          <w:b/>
          <w:bCs/>
          <w:color w:val="000000"/>
          <w:lang w:eastAsia="en-GB"/>
        </w:rPr>
        <w:t>Domain list</w:t>
      </w:r>
    </w:p>
    <w:p w14:paraId="24E3D598" w14:textId="77777777" w:rsidR="001730B7" w:rsidRPr="001730B7" w:rsidRDefault="001730B7" w:rsidP="004859C3">
      <w:pPr>
        <w:pStyle w:val="ListParagraph"/>
        <w:spacing w:after="0" w:line="300" w:lineRule="exact"/>
        <w:jc w:val="both"/>
        <w:textAlignment w:val="baseline"/>
        <w:rPr>
          <w:rFonts w:ascii="Times New Roman" w:eastAsia="Times New Roman" w:hAnsi="Times New Roman" w:cs="Times New Roman"/>
          <w:color w:val="000000"/>
          <w:lang w:eastAsia="en-GB"/>
        </w:rPr>
      </w:pPr>
    </w:p>
    <w:p w14:paraId="5385DEB1" w14:textId="49EEAF68" w:rsidR="001730B7" w:rsidRDefault="00170A61" w:rsidP="00170A61">
      <w:pPr>
        <w:spacing w:after="0" w:line="300" w:lineRule="exact"/>
        <w:jc w:val="both"/>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The company operates the following domains</w:t>
      </w:r>
    </w:p>
    <w:p w14:paraId="113E0B8E" w14:textId="02DF9C93" w:rsidR="00170A61" w:rsidRDefault="00170A61" w:rsidP="00170A61">
      <w:pPr>
        <w:pStyle w:val="ListParagraph"/>
        <w:numPr>
          <w:ilvl w:val="0"/>
          <w:numId w:val="29"/>
        </w:numPr>
        <w:spacing w:after="0" w:line="300" w:lineRule="exact"/>
        <w:jc w:val="both"/>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Playbison.com</w:t>
      </w:r>
    </w:p>
    <w:p w14:paraId="49286983" w14:textId="0A37BA97" w:rsidR="00170A61" w:rsidRDefault="00170A61" w:rsidP="00170A61">
      <w:pPr>
        <w:pStyle w:val="ListParagraph"/>
        <w:numPr>
          <w:ilvl w:val="0"/>
          <w:numId w:val="29"/>
        </w:numPr>
        <w:spacing w:after="0" w:line="300" w:lineRule="exact"/>
        <w:jc w:val="both"/>
        <w:textAlignment w:val="baseline"/>
        <w:rPr>
          <w:rFonts w:ascii="Times New Roman" w:eastAsia="Times New Roman" w:hAnsi="Times New Roman" w:cs="Times New Roman"/>
          <w:color w:val="000000"/>
          <w:lang w:eastAsia="en-GB"/>
        </w:rPr>
      </w:pPr>
      <w:proofErr w:type="spellStart"/>
      <w:r>
        <w:rPr>
          <w:rFonts w:ascii="Times New Roman" w:eastAsia="Times New Roman" w:hAnsi="Times New Roman" w:cs="Times New Roman"/>
          <w:color w:val="000000"/>
          <w:lang w:eastAsia="en-GB"/>
        </w:rPr>
        <w:t>Playbull.vip</w:t>
      </w:r>
      <w:proofErr w:type="spellEnd"/>
    </w:p>
    <w:p w14:paraId="1B74F09C" w14:textId="5CDE16DB" w:rsidR="00170A61" w:rsidRPr="00170A61" w:rsidRDefault="00B20D61" w:rsidP="00170A61">
      <w:pPr>
        <w:pStyle w:val="ListParagraph"/>
        <w:numPr>
          <w:ilvl w:val="0"/>
          <w:numId w:val="29"/>
        </w:numPr>
        <w:spacing w:after="0" w:line="300" w:lineRule="exact"/>
        <w:jc w:val="both"/>
        <w:textAlignment w:val="baseline"/>
        <w:rPr>
          <w:rFonts w:ascii="Times New Roman" w:eastAsia="Times New Roman" w:hAnsi="Times New Roman" w:cs="Times New Roman"/>
          <w:color w:val="000000"/>
          <w:lang w:eastAsia="en-GB"/>
        </w:rPr>
      </w:pPr>
      <w:proofErr w:type="spellStart"/>
      <w:r>
        <w:rPr>
          <w:rFonts w:ascii="Times New Roman" w:eastAsia="Times New Roman" w:hAnsi="Times New Roman" w:cs="Times New Roman"/>
          <w:color w:val="000000"/>
          <w:lang w:eastAsia="en-GB"/>
        </w:rPr>
        <w:t>Bison.win</w:t>
      </w:r>
      <w:proofErr w:type="spellEnd"/>
      <w:r>
        <w:rPr>
          <w:rFonts w:ascii="Times New Roman" w:eastAsia="Times New Roman" w:hAnsi="Times New Roman" w:cs="Times New Roman"/>
          <w:color w:val="000000"/>
          <w:lang w:eastAsia="en-GB"/>
        </w:rPr>
        <w:t xml:space="preserve"> (pending)</w:t>
      </w:r>
    </w:p>
    <w:p w14:paraId="51BD082A" w14:textId="77777777" w:rsidR="001730B7" w:rsidRPr="001730B7" w:rsidRDefault="001730B7" w:rsidP="004859C3">
      <w:pPr>
        <w:pStyle w:val="ListParagraph"/>
        <w:spacing w:after="0" w:line="300" w:lineRule="exact"/>
        <w:jc w:val="both"/>
        <w:textAlignment w:val="baseline"/>
        <w:rPr>
          <w:rFonts w:ascii="Times New Roman" w:eastAsia="Times New Roman" w:hAnsi="Times New Roman" w:cs="Times New Roman"/>
          <w:color w:val="000000"/>
          <w:lang w:eastAsia="en-GB"/>
        </w:rPr>
      </w:pPr>
    </w:p>
    <w:p w14:paraId="7B101E2F" w14:textId="77777777" w:rsidR="001730B7" w:rsidRPr="001730B7" w:rsidRDefault="001730B7" w:rsidP="001730B7">
      <w:pPr>
        <w:pStyle w:val="ListParagraph"/>
        <w:numPr>
          <w:ilvl w:val="0"/>
          <w:numId w:val="14"/>
        </w:numPr>
        <w:rPr>
          <w:rFonts w:ascii="Times New Roman" w:hAnsi="Times New Roman" w:cs="Times New Roman"/>
        </w:rPr>
      </w:pPr>
      <w:r w:rsidRPr="001730B7">
        <w:rPr>
          <w:rFonts w:ascii="Times New Roman" w:hAnsi="Times New Roman" w:cs="Times New Roman"/>
        </w:rPr>
        <w:br w:type="page"/>
      </w:r>
    </w:p>
    <w:tbl>
      <w:tblPr>
        <w:tblpPr w:leftFromText="180" w:rightFromText="180" w:vertAnchor="page" w:horzAnchor="margin" w:tblpY="15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392"/>
        <w:gridCol w:w="507"/>
        <w:gridCol w:w="1628"/>
        <w:gridCol w:w="2811"/>
        <w:gridCol w:w="1671"/>
      </w:tblGrid>
      <w:tr w:rsidR="001730B7" w14:paraId="52958520" w14:textId="77777777" w:rsidTr="00291E66">
        <w:trPr>
          <w:trHeight w:val="419"/>
        </w:trPr>
        <w:tc>
          <w:tcPr>
            <w:tcW w:w="5000" w:type="pct"/>
            <w:gridSpan w:val="6"/>
            <w:shd w:val="clear" w:color="auto" w:fill="BFBFBF" w:themeFill="background1" w:themeFillShade="BF"/>
          </w:tcPr>
          <w:p w14:paraId="3462EFC7" w14:textId="77777777" w:rsidR="001730B7" w:rsidRPr="00265CF0" w:rsidRDefault="001730B7" w:rsidP="00291E66">
            <w:pPr>
              <w:jc w:val="center"/>
              <w:rPr>
                <w:color w:val="FFFFFF"/>
              </w:rPr>
            </w:pPr>
            <w:r w:rsidRPr="00265CF0">
              <w:rPr>
                <w:b/>
                <w:color w:val="FFFFFF"/>
              </w:rPr>
              <w:lastRenderedPageBreak/>
              <w:t>DOCUMENT CREATION</w:t>
            </w:r>
          </w:p>
        </w:tc>
      </w:tr>
      <w:tr w:rsidR="001730B7" w14:paraId="274A577D" w14:textId="77777777" w:rsidTr="00291E66">
        <w:tc>
          <w:tcPr>
            <w:tcW w:w="1349" w:type="pct"/>
            <w:gridSpan w:val="2"/>
            <w:tcBorders>
              <w:bottom w:val="single" w:sz="4" w:space="0" w:color="auto"/>
            </w:tcBorders>
            <w:shd w:val="clear" w:color="auto" w:fill="BFBFBF" w:themeFill="background1" w:themeFillShade="BF"/>
          </w:tcPr>
          <w:p w14:paraId="4D2102AD" w14:textId="77777777" w:rsidR="001730B7" w:rsidRPr="00265CF0" w:rsidRDefault="001730B7" w:rsidP="00291E66">
            <w:pPr>
              <w:rPr>
                <w:b/>
                <w:color w:val="FFFFFF"/>
              </w:rPr>
            </w:pPr>
            <w:r w:rsidRPr="00265CF0">
              <w:rPr>
                <w:b/>
                <w:color w:val="FFFFFF"/>
              </w:rPr>
              <w:t xml:space="preserve">Version </w:t>
            </w:r>
          </w:p>
        </w:tc>
        <w:tc>
          <w:tcPr>
            <w:tcW w:w="3651" w:type="pct"/>
            <w:gridSpan w:val="4"/>
            <w:shd w:val="clear" w:color="auto" w:fill="F2F2F2" w:themeFill="background1" w:themeFillShade="F2"/>
          </w:tcPr>
          <w:p w14:paraId="06708FD3" w14:textId="77777777" w:rsidR="001730B7" w:rsidRPr="00265CF0" w:rsidRDefault="001730B7" w:rsidP="00291E66">
            <w:r>
              <w:t>2.0</w:t>
            </w:r>
          </w:p>
        </w:tc>
      </w:tr>
      <w:tr w:rsidR="001730B7" w14:paraId="4EDE1EEC" w14:textId="77777777" w:rsidTr="00291E66">
        <w:tc>
          <w:tcPr>
            <w:tcW w:w="1349" w:type="pct"/>
            <w:gridSpan w:val="2"/>
            <w:tcBorders>
              <w:bottom w:val="single" w:sz="4" w:space="0" w:color="auto"/>
            </w:tcBorders>
            <w:shd w:val="clear" w:color="auto" w:fill="BFBFBF" w:themeFill="background1" w:themeFillShade="BF"/>
          </w:tcPr>
          <w:p w14:paraId="6A0B14F9" w14:textId="77777777" w:rsidR="001730B7" w:rsidRPr="00265CF0" w:rsidRDefault="001730B7" w:rsidP="00291E66">
            <w:pPr>
              <w:rPr>
                <w:b/>
                <w:color w:val="FFFFFF"/>
              </w:rPr>
            </w:pPr>
            <w:r w:rsidRPr="00265CF0">
              <w:rPr>
                <w:b/>
                <w:color w:val="FFFFFF"/>
              </w:rPr>
              <w:t>Date Created</w:t>
            </w:r>
          </w:p>
        </w:tc>
        <w:tc>
          <w:tcPr>
            <w:tcW w:w="3651" w:type="pct"/>
            <w:gridSpan w:val="4"/>
            <w:tcBorders>
              <w:bottom w:val="single" w:sz="4" w:space="0" w:color="auto"/>
            </w:tcBorders>
            <w:shd w:val="clear" w:color="auto" w:fill="F2F2F2" w:themeFill="background1" w:themeFillShade="F2"/>
          </w:tcPr>
          <w:p w14:paraId="463087FF" w14:textId="423EFC62" w:rsidR="001730B7" w:rsidRPr="00265CF0" w:rsidRDefault="001730B7" w:rsidP="00291E66">
            <w:r w:rsidRPr="00265CF0">
              <w:rPr>
                <w:rFonts w:cs="Calibri"/>
              </w:rPr>
              <w:t xml:space="preserve">1 </w:t>
            </w:r>
            <w:r>
              <w:rPr>
                <w:rFonts w:cs="Calibri"/>
              </w:rPr>
              <w:t>January</w:t>
            </w:r>
            <w:r w:rsidRPr="00265CF0">
              <w:rPr>
                <w:rFonts w:cs="Calibri"/>
              </w:rPr>
              <w:t xml:space="preserve"> 20</w:t>
            </w:r>
            <w:r>
              <w:rPr>
                <w:rFonts w:cs="Calibri"/>
              </w:rPr>
              <w:t>23</w:t>
            </w:r>
          </w:p>
        </w:tc>
      </w:tr>
      <w:tr w:rsidR="001730B7" w14:paraId="5B3F7E4F" w14:textId="77777777" w:rsidTr="00291E66">
        <w:tc>
          <w:tcPr>
            <w:tcW w:w="1349" w:type="pct"/>
            <w:gridSpan w:val="2"/>
            <w:tcBorders>
              <w:top w:val="single" w:sz="4" w:space="0" w:color="auto"/>
              <w:bottom w:val="single" w:sz="4" w:space="0" w:color="auto"/>
            </w:tcBorders>
            <w:shd w:val="clear" w:color="auto" w:fill="BFBFBF" w:themeFill="background1" w:themeFillShade="BF"/>
          </w:tcPr>
          <w:p w14:paraId="3A55230B" w14:textId="77777777" w:rsidR="001730B7" w:rsidRPr="00265CF0" w:rsidRDefault="001730B7" w:rsidP="00291E66">
            <w:pPr>
              <w:rPr>
                <w:b/>
                <w:color w:val="FFFFFF"/>
              </w:rPr>
            </w:pPr>
            <w:r w:rsidRPr="00265CF0">
              <w:rPr>
                <w:b/>
                <w:color w:val="FFFFFF"/>
              </w:rPr>
              <w:t>Author(s) of Document</w:t>
            </w:r>
          </w:p>
        </w:tc>
        <w:tc>
          <w:tcPr>
            <w:tcW w:w="3651" w:type="pct"/>
            <w:gridSpan w:val="4"/>
            <w:shd w:val="clear" w:color="auto" w:fill="F2F2F2" w:themeFill="background1" w:themeFillShade="F2"/>
          </w:tcPr>
          <w:p w14:paraId="6F2E38A1" w14:textId="77777777" w:rsidR="001730B7" w:rsidRPr="00265CF0" w:rsidRDefault="001730B7" w:rsidP="00291E66">
            <w:r>
              <w:rPr>
                <w:rFonts w:cs="Calibri"/>
              </w:rPr>
              <w:t xml:space="preserve">Paweł </w:t>
            </w:r>
            <w:proofErr w:type="spellStart"/>
            <w:r>
              <w:rPr>
                <w:rFonts w:cs="Calibri"/>
              </w:rPr>
              <w:t>Piętak</w:t>
            </w:r>
            <w:proofErr w:type="spellEnd"/>
            <w:r>
              <w:rPr>
                <w:rFonts w:cs="Calibri"/>
              </w:rPr>
              <w:t>, MLRO</w:t>
            </w:r>
          </w:p>
        </w:tc>
      </w:tr>
      <w:tr w:rsidR="001730B7" w14:paraId="4E80320C" w14:textId="77777777" w:rsidTr="00291E66">
        <w:trPr>
          <w:trHeight w:val="1278"/>
        </w:trPr>
        <w:tc>
          <w:tcPr>
            <w:tcW w:w="1349" w:type="pct"/>
            <w:gridSpan w:val="2"/>
            <w:tcBorders>
              <w:top w:val="single" w:sz="4" w:space="0" w:color="auto"/>
              <w:bottom w:val="single" w:sz="4" w:space="0" w:color="auto"/>
            </w:tcBorders>
            <w:shd w:val="clear" w:color="auto" w:fill="BFBFBF" w:themeFill="background1" w:themeFillShade="BF"/>
          </w:tcPr>
          <w:p w14:paraId="2DDD866D" w14:textId="77777777" w:rsidR="001730B7" w:rsidRPr="00265CF0" w:rsidRDefault="001730B7" w:rsidP="00291E66">
            <w:pPr>
              <w:rPr>
                <w:b/>
                <w:color w:val="FFFFFF"/>
              </w:rPr>
            </w:pPr>
            <w:r w:rsidRPr="00265CF0">
              <w:rPr>
                <w:b/>
                <w:color w:val="FFFFFF"/>
              </w:rPr>
              <w:t>Purpose of Document</w:t>
            </w:r>
          </w:p>
        </w:tc>
        <w:tc>
          <w:tcPr>
            <w:tcW w:w="3651" w:type="pct"/>
            <w:gridSpan w:val="4"/>
            <w:shd w:val="clear" w:color="auto" w:fill="F2F2F2" w:themeFill="background1" w:themeFillShade="F2"/>
          </w:tcPr>
          <w:p w14:paraId="267AC264" w14:textId="77777777" w:rsidR="001730B7" w:rsidRPr="002E1C85" w:rsidRDefault="001730B7" w:rsidP="00291E66">
            <w:pPr>
              <w:spacing w:after="0" w:line="360" w:lineRule="auto"/>
              <w:jc w:val="both"/>
              <w:rPr>
                <w:rFonts w:cs="Arial"/>
                <w:szCs w:val="24"/>
              </w:rPr>
            </w:pPr>
            <w:r w:rsidRPr="00AD115A">
              <w:rPr>
                <w:rFonts w:cs="Arial"/>
              </w:rPr>
              <w:t>This policy is aimed at defining the manner by which the business conducts operations procedures towards Anti-Money Laundering</w:t>
            </w:r>
            <w:r>
              <w:rPr>
                <w:rFonts w:cs="Arial"/>
              </w:rPr>
              <w:t>, Fraud</w:t>
            </w:r>
            <w:r w:rsidRPr="00AD115A">
              <w:rPr>
                <w:rFonts w:cs="Arial"/>
              </w:rPr>
              <w:t xml:space="preserve"> and Counter Financing of Terrorism. Where specific business lines or country-level AML/CFT Laws require more, those requirements will apply in addition to the minimum standards identified here.</w:t>
            </w:r>
          </w:p>
        </w:tc>
      </w:tr>
      <w:tr w:rsidR="001730B7" w14:paraId="06EB72EF" w14:textId="77777777" w:rsidTr="00291E66">
        <w:trPr>
          <w:trHeight w:val="417"/>
        </w:trPr>
        <w:tc>
          <w:tcPr>
            <w:tcW w:w="1349" w:type="pct"/>
            <w:gridSpan w:val="2"/>
            <w:tcBorders>
              <w:top w:val="single" w:sz="4" w:space="0" w:color="auto"/>
              <w:bottom w:val="single" w:sz="4" w:space="0" w:color="auto"/>
            </w:tcBorders>
            <w:shd w:val="clear" w:color="auto" w:fill="BFBFBF" w:themeFill="background1" w:themeFillShade="BF"/>
          </w:tcPr>
          <w:p w14:paraId="270CC749" w14:textId="77777777" w:rsidR="001730B7" w:rsidRPr="00265CF0" w:rsidRDefault="001730B7" w:rsidP="00291E66">
            <w:pPr>
              <w:rPr>
                <w:b/>
                <w:color w:val="FFFFFF"/>
              </w:rPr>
            </w:pPr>
            <w:r w:rsidRPr="00265CF0">
              <w:rPr>
                <w:b/>
                <w:color w:val="FFFFFF"/>
              </w:rPr>
              <w:t>Authorised By</w:t>
            </w:r>
          </w:p>
        </w:tc>
        <w:tc>
          <w:tcPr>
            <w:tcW w:w="3651" w:type="pct"/>
            <w:gridSpan w:val="4"/>
            <w:tcBorders>
              <w:bottom w:val="single" w:sz="4" w:space="0" w:color="auto"/>
            </w:tcBorders>
            <w:shd w:val="clear" w:color="auto" w:fill="F2F2F2" w:themeFill="background1" w:themeFillShade="F2"/>
          </w:tcPr>
          <w:p w14:paraId="3045F597" w14:textId="77777777" w:rsidR="001730B7" w:rsidRPr="00265CF0" w:rsidRDefault="001730B7" w:rsidP="00291E66">
            <w:r>
              <w:rPr>
                <w:rFonts w:cs="Calibri"/>
              </w:rPr>
              <w:t xml:space="preserve">Paweł </w:t>
            </w:r>
            <w:proofErr w:type="spellStart"/>
            <w:r>
              <w:rPr>
                <w:rFonts w:cs="Calibri"/>
              </w:rPr>
              <w:t>Piętak</w:t>
            </w:r>
            <w:proofErr w:type="spellEnd"/>
            <w:r>
              <w:rPr>
                <w:rFonts w:cs="Calibri"/>
              </w:rPr>
              <w:t>, MLRO</w:t>
            </w:r>
          </w:p>
        </w:tc>
      </w:tr>
      <w:tr w:rsidR="001730B7" w14:paraId="7CAAB06C" w14:textId="77777777" w:rsidTr="00291E66">
        <w:trPr>
          <w:trHeight w:val="432"/>
        </w:trPr>
        <w:tc>
          <w:tcPr>
            <w:tcW w:w="5000" w:type="pct"/>
            <w:gridSpan w:val="6"/>
            <w:tcBorders>
              <w:bottom w:val="single" w:sz="4" w:space="0" w:color="auto"/>
            </w:tcBorders>
            <w:shd w:val="clear" w:color="auto" w:fill="BFBFBF" w:themeFill="background1" w:themeFillShade="BF"/>
          </w:tcPr>
          <w:p w14:paraId="11A4DC78" w14:textId="77777777" w:rsidR="001730B7" w:rsidRPr="00265CF0" w:rsidRDefault="001730B7" w:rsidP="00291E66">
            <w:pPr>
              <w:jc w:val="center"/>
              <w:rPr>
                <w:b/>
                <w:color w:val="FFFFFF"/>
              </w:rPr>
            </w:pPr>
            <w:r w:rsidRPr="00265CF0">
              <w:rPr>
                <w:b/>
                <w:color w:val="FFFFFF"/>
              </w:rPr>
              <w:t>CHANGE CONTROL</w:t>
            </w:r>
          </w:p>
        </w:tc>
      </w:tr>
      <w:tr w:rsidR="001730B7" w14:paraId="481C6453" w14:textId="77777777" w:rsidTr="00291E66">
        <w:trPr>
          <w:trHeight w:val="417"/>
        </w:trPr>
        <w:tc>
          <w:tcPr>
            <w:tcW w:w="581" w:type="pct"/>
            <w:tcBorders>
              <w:top w:val="single" w:sz="4" w:space="0" w:color="auto"/>
              <w:right w:val="single" w:sz="4" w:space="0" w:color="auto"/>
            </w:tcBorders>
            <w:shd w:val="clear" w:color="auto" w:fill="BFBFBF" w:themeFill="background1" w:themeFillShade="BF"/>
          </w:tcPr>
          <w:p w14:paraId="3B3F0E5B" w14:textId="77777777" w:rsidR="001730B7" w:rsidRPr="00265CF0" w:rsidRDefault="001730B7" w:rsidP="00291E66">
            <w:pPr>
              <w:rPr>
                <w:b/>
                <w:color w:val="FFFFFF"/>
              </w:rPr>
            </w:pPr>
            <w:r w:rsidRPr="00265CF0">
              <w:rPr>
                <w:b/>
                <w:color w:val="FFFFFF"/>
              </w:rPr>
              <w:t>Version</w:t>
            </w:r>
          </w:p>
        </w:tc>
        <w:tc>
          <w:tcPr>
            <w:tcW w:w="1048" w:type="pct"/>
            <w:gridSpan w:val="2"/>
            <w:tcBorders>
              <w:top w:val="single" w:sz="4" w:space="0" w:color="auto"/>
              <w:left w:val="single" w:sz="4" w:space="0" w:color="auto"/>
              <w:right w:val="single" w:sz="4" w:space="0" w:color="auto"/>
            </w:tcBorders>
            <w:shd w:val="clear" w:color="auto" w:fill="BFBFBF" w:themeFill="background1" w:themeFillShade="BF"/>
          </w:tcPr>
          <w:p w14:paraId="7D167AEB" w14:textId="77777777" w:rsidR="001730B7" w:rsidRPr="00265CF0" w:rsidRDefault="001730B7" w:rsidP="00291E66">
            <w:pPr>
              <w:rPr>
                <w:b/>
                <w:color w:val="FFFFFF"/>
              </w:rPr>
            </w:pPr>
            <w:r w:rsidRPr="00265CF0">
              <w:rPr>
                <w:b/>
                <w:color w:val="FFFFFF"/>
              </w:rPr>
              <w:t>Date of Issue</w:t>
            </w:r>
          </w:p>
        </w:tc>
        <w:tc>
          <w:tcPr>
            <w:tcW w:w="898" w:type="pct"/>
            <w:tcBorders>
              <w:top w:val="single" w:sz="4" w:space="0" w:color="auto"/>
              <w:left w:val="single" w:sz="4" w:space="0" w:color="auto"/>
              <w:right w:val="single" w:sz="4" w:space="0" w:color="auto"/>
            </w:tcBorders>
            <w:shd w:val="clear" w:color="auto" w:fill="BFBFBF" w:themeFill="background1" w:themeFillShade="BF"/>
          </w:tcPr>
          <w:p w14:paraId="62767C9C" w14:textId="77777777" w:rsidR="001730B7" w:rsidRPr="00265CF0" w:rsidRDefault="001730B7" w:rsidP="00291E66">
            <w:pPr>
              <w:rPr>
                <w:b/>
                <w:color w:val="FFFFFF"/>
              </w:rPr>
            </w:pPr>
            <w:r w:rsidRPr="00265CF0">
              <w:rPr>
                <w:b/>
                <w:color w:val="FFFFFF"/>
              </w:rPr>
              <w:t>Author(s)</w:t>
            </w:r>
          </w:p>
        </w:tc>
        <w:tc>
          <w:tcPr>
            <w:tcW w:w="1551" w:type="pct"/>
            <w:tcBorders>
              <w:top w:val="single" w:sz="4" w:space="0" w:color="auto"/>
              <w:left w:val="single" w:sz="4" w:space="0" w:color="auto"/>
              <w:right w:val="single" w:sz="4" w:space="0" w:color="auto"/>
            </w:tcBorders>
            <w:shd w:val="clear" w:color="auto" w:fill="BFBFBF" w:themeFill="background1" w:themeFillShade="BF"/>
          </w:tcPr>
          <w:p w14:paraId="76975498" w14:textId="77777777" w:rsidR="001730B7" w:rsidRPr="00265CF0" w:rsidRDefault="001730B7" w:rsidP="00291E66">
            <w:pPr>
              <w:rPr>
                <w:b/>
                <w:color w:val="FFFFFF"/>
              </w:rPr>
            </w:pPr>
            <w:r w:rsidRPr="00265CF0">
              <w:rPr>
                <w:b/>
                <w:color w:val="FFFFFF"/>
              </w:rPr>
              <w:t>Brief Description of Changes</w:t>
            </w:r>
          </w:p>
        </w:tc>
        <w:tc>
          <w:tcPr>
            <w:tcW w:w="922" w:type="pct"/>
            <w:tcBorders>
              <w:top w:val="single" w:sz="4" w:space="0" w:color="auto"/>
              <w:left w:val="single" w:sz="4" w:space="0" w:color="auto"/>
            </w:tcBorders>
            <w:shd w:val="clear" w:color="auto" w:fill="BFBFBF" w:themeFill="background1" w:themeFillShade="BF"/>
          </w:tcPr>
          <w:p w14:paraId="269548F3" w14:textId="77777777" w:rsidR="001730B7" w:rsidRPr="00265CF0" w:rsidRDefault="001730B7" w:rsidP="00291E66">
            <w:pPr>
              <w:rPr>
                <w:b/>
                <w:color w:val="FFFFFF"/>
              </w:rPr>
            </w:pPr>
            <w:r w:rsidRPr="00265CF0">
              <w:rPr>
                <w:b/>
                <w:color w:val="FFFFFF"/>
              </w:rPr>
              <w:t>Approved By</w:t>
            </w:r>
          </w:p>
        </w:tc>
      </w:tr>
      <w:tr w:rsidR="001730B7" w14:paraId="6199E71C" w14:textId="77777777" w:rsidTr="00291E66">
        <w:trPr>
          <w:trHeight w:val="417"/>
        </w:trPr>
        <w:tc>
          <w:tcPr>
            <w:tcW w:w="581" w:type="pct"/>
            <w:tcBorders>
              <w:bottom w:val="single" w:sz="4" w:space="0" w:color="auto"/>
            </w:tcBorders>
            <w:shd w:val="clear" w:color="auto" w:fill="FFFFFF"/>
          </w:tcPr>
          <w:p w14:paraId="04419A06" w14:textId="77777777" w:rsidR="001730B7" w:rsidRPr="00345CD2" w:rsidRDefault="001730B7" w:rsidP="00291E66">
            <w:pPr>
              <w:rPr>
                <w:b/>
                <w:sz w:val="20"/>
                <w:szCs w:val="20"/>
              </w:rPr>
            </w:pPr>
            <w:r w:rsidRPr="00345CD2">
              <w:rPr>
                <w:rFonts w:cs="Calibri"/>
                <w:sz w:val="20"/>
                <w:szCs w:val="20"/>
              </w:rPr>
              <w:t>1.0</w:t>
            </w:r>
          </w:p>
        </w:tc>
        <w:tc>
          <w:tcPr>
            <w:tcW w:w="1048" w:type="pct"/>
            <w:gridSpan w:val="2"/>
            <w:tcBorders>
              <w:bottom w:val="single" w:sz="4" w:space="0" w:color="auto"/>
            </w:tcBorders>
            <w:shd w:val="clear" w:color="auto" w:fill="FFFFFF"/>
          </w:tcPr>
          <w:p w14:paraId="63BE91CC" w14:textId="265036D3" w:rsidR="001730B7" w:rsidRPr="00345CD2" w:rsidRDefault="001730B7" w:rsidP="00291E66">
            <w:pPr>
              <w:rPr>
                <w:sz w:val="20"/>
                <w:szCs w:val="20"/>
              </w:rPr>
            </w:pPr>
            <w:r w:rsidRPr="00345CD2">
              <w:rPr>
                <w:rFonts w:cs="Calibri"/>
                <w:sz w:val="20"/>
                <w:szCs w:val="20"/>
              </w:rPr>
              <w:t xml:space="preserve">1 </w:t>
            </w:r>
            <w:r>
              <w:rPr>
                <w:rFonts w:cs="Calibri"/>
                <w:sz w:val="20"/>
                <w:szCs w:val="20"/>
              </w:rPr>
              <w:t>December</w:t>
            </w:r>
            <w:r w:rsidRPr="00345CD2">
              <w:rPr>
                <w:rFonts w:cs="Calibri"/>
                <w:sz w:val="20"/>
                <w:szCs w:val="20"/>
              </w:rPr>
              <w:t xml:space="preserve"> 20</w:t>
            </w:r>
            <w:r>
              <w:rPr>
                <w:rFonts w:cs="Calibri"/>
                <w:sz w:val="20"/>
                <w:szCs w:val="20"/>
              </w:rPr>
              <w:t>22</w:t>
            </w:r>
          </w:p>
        </w:tc>
        <w:tc>
          <w:tcPr>
            <w:tcW w:w="898" w:type="pct"/>
            <w:tcBorders>
              <w:bottom w:val="single" w:sz="4" w:space="0" w:color="auto"/>
            </w:tcBorders>
            <w:shd w:val="clear" w:color="auto" w:fill="FFFFFF"/>
          </w:tcPr>
          <w:p w14:paraId="20EC331A" w14:textId="77777777" w:rsidR="001730B7" w:rsidRPr="00345CD2" w:rsidRDefault="001730B7" w:rsidP="00291E66">
            <w:pPr>
              <w:rPr>
                <w:sz w:val="20"/>
                <w:szCs w:val="20"/>
              </w:rPr>
            </w:pPr>
            <w:r>
              <w:rPr>
                <w:rFonts w:cs="Calibri"/>
              </w:rPr>
              <w:t xml:space="preserve">Paweł </w:t>
            </w:r>
            <w:proofErr w:type="spellStart"/>
            <w:r>
              <w:rPr>
                <w:rFonts w:cs="Calibri"/>
              </w:rPr>
              <w:t>Piętak</w:t>
            </w:r>
            <w:proofErr w:type="spellEnd"/>
          </w:p>
        </w:tc>
        <w:tc>
          <w:tcPr>
            <w:tcW w:w="1551" w:type="pct"/>
            <w:tcBorders>
              <w:bottom w:val="single" w:sz="4" w:space="0" w:color="auto"/>
            </w:tcBorders>
            <w:shd w:val="clear" w:color="auto" w:fill="FFFFFF"/>
          </w:tcPr>
          <w:p w14:paraId="207126D1" w14:textId="77777777" w:rsidR="001730B7" w:rsidRPr="00345CD2" w:rsidRDefault="001730B7" w:rsidP="00291E66">
            <w:pPr>
              <w:rPr>
                <w:sz w:val="20"/>
                <w:szCs w:val="20"/>
              </w:rPr>
            </w:pPr>
            <w:r w:rsidRPr="00345CD2">
              <w:rPr>
                <w:sz w:val="20"/>
                <w:szCs w:val="20"/>
              </w:rPr>
              <w:t>Initial Release</w:t>
            </w:r>
          </w:p>
        </w:tc>
        <w:tc>
          <w:tcPr>
            <w:tcW w:w="922" w:type="pct"/>
            <w:tcBorders>
              <w:bottom w:val="single" w:sz="4" w:space="0" w:color="auto"/>
            </w:tcBorders>
            <w:shd w:val="clear" w:color="auto" w:fill="FFFFFF"/>
          </w:tcPr>
          <w:p w14:paraId="2FEAE682" w14:textId="77777777" w:rsidR="001730B7" w:rsidRPr="00345CD2" w:rsidRDefault="001730B7" w:rsidP="00291E66">
            <w:pPr>
              <w:rPr>
                <w:sz w:val="20"/>
                <w:szCs w:val="20"/>
              </w:rPr>
            </w:pPr>
            <w:r>
              <w:rPr>
                <w:rFonts w:cs="Calibri"/>
              </w:rPr>
              <w:t xml:space="preserve">Paweł </w:t>
            </w:r>
            <w:proofErr w:type="spellStart"/>
            <w:r>
              <w:rPr>
                <w:rFonts w:cs="Calibri"/>
              </w:rPr>
              <w:t>Piętak</w:t>
            </w:r>
            <w:proofErr w:type="spellEnd"/>
          </w:p>
        </w:tc>
      </w:tr>
      <w:tr w:rsidR="001730B7" w14:paraId="368D8D3F" w14:textId="77777777" w:rsidTr="00291E66">
        <w:trPr>
          <w:trHeight w:val="417"/>
        </w:trPr>
        <w:tc>
          <w:tcPr>
            <w:tcW w:w="581" w:type="pct"/>
            <w:shd w:val="clear" w:color="auto" w:fill="auto"/>
          </w:tcPr>
          <w:p w14:paraId="68440DDD" w14:textId="77777777" w:rsidR="001730B7" w:rsidRPr="008444CF" w:rsidRDefault="001730B7" w:rsidP="00291E66">
            <w:pPr>
              <w:rPr>
                <w:bCs/>
                <w:sz w:val="20"/>
                <w:szCs w:val="20"/>
              </w:rPr>
            </w:pPr>
            <w:r w:rsidRPr="008444CF">
              <w:rPr>
                <w:bCs/>
                <w:sz w:val="20"/>
                <w:szCs w:val="20"/>
              </w:rPr>
              <w:t>2.0</w:t>
            </w:r>
          </w:p>
        </w:tc>
        <w:tc>
          <w:tcPr>
            <w:tcW w:w="1048" w:type="pct"/>
            <w:gridSpan w:val="2"/>
            <w:shd w:val="clear" w:color="auto" w:fill="auto"/>
          </w:tcPr>
          <w:p w14:paraId="15D4B852" w14:textId="47CB8283" w:rsidR="001730B7" w:rsidRPr="00345CD2" w:rsidRDefault="001730B7" w:rsidP="00291E66">
            <w:pPr>
              <w:rPr>
                <w:sz w:val="20"/>
                <w:szCs w:val="20"/>
              </w:rPr>
            </w:pPr>
            <w:r>
              <w:rPr>
                <w:sz w:val="20"/>
                <w:szCs w:val="20"/>
              </w:rPr>
              <w:t>1 January 2023</w:t>
            </w:r>
          </w:p>
        </w:tc>
        <w:tc>
          <w:tcPr>
            <w:tcW w:w="898" w:type="pct"/>
            <w:shd w:val="clear" w:color="auto" w:fill="auto"/>
          </w:tcPr>
          <w:p w14:paraId="1CAFDDE2" w14:textId="77777777" w:rsidR="001730B7" w:rsidRPr="00345CD2" w:rsidRDefault="001730B7" w:rsidP="00291E66">
            <w:pPr>
              <w:rPr>
                <w:sz w:val="20"/>
                <w:szCs w:val="20"/>
              </w:rPr>
            </w:pPr>
            <w:r>
              <w:rPr>
                <w:rFonts w:cs="Calibri"/>
              </w:rPr>
              <w:t xml:space="preserve">Paweł </w:t>
            </w:r>
            <w:proofErr w:type="spellStart"/>
            <w:r>
              <w:rPr>
                <w:rFonts w:cs="Calibri"/>
              </w:rPr>
              <w:t>Piętak</w:t>
            </w:r>
            <w:proofErr w:type="spellEnd"/>
          </w:p>
        </w:tc>
        <w:tc>
          <w:tcPr>
            <w:tcW w:w="1551" w:type="pct"/>
            <w:shd w:val="clear" w:color="auto" w:fill="auto"/>
          </w:tcPr>
          <w:p w14:paraId="21DFF481" w14:textId="77777777" w:rsidR="001730B7" w:rsidRPr="00345CD2" w:rsidRDefault="001730B7" w:rsidP="00291E66">
            <w:pPr>
              <w:rPr>
                <w:sz w:val="20"/>
                <w:szCs w:val="20"/>
              </w:rPr>
            </w:pPr>
            <w:r w:rsidRPr="00345CD2">
              <w:rPr>
                <w:sz w:val="20"/>
                <w:szCs w:val="20"/>
              </w:rPr>
              <w:t>Updated document as per  procedures changes</w:t>
            </w:r>
          </w:p>
        </w:tc>
        <w:tc>
          <w:tcPr>
            <w:tcW w:w="922" w:type="pct"/>
            <w:shd w:val="clear" w:color="auto" w:fill="auto"/>
          </w:tcPr>
          <w:p w14:paraId="27B3C4B1" w14:textId="77777777" w:rsidR="001730B7" w:rsidRPr="00345CD2" w:rsidRDefault="001730B7" w:rsidP="00291E66">
            <w:pPr>
              <w:rPr>
                <w:sz w:val="20"/>
                <w:szCs w:val="20"/>
              </w:rPr>
            </w:pPr>
            <w:r>
              <w:rPr>
                <w:rFonts w:cs="Calibri"/>
              </w:rPr>
              <w:t xml:space="preserve">Paweł </w:t>
            </w:r>
            <w:proofErr w:type="spellStart"/>
            <w:r>
              <w:rPr>
                <w:rFonts w:cs="Calibri"/>
              </w:rPr>
              <w:t>Piętak</w:t>
            </w:r>
            <w:proofErr w:type="spellEnd"/>
          </w:p>
        </w:tc>
      </w:tr>
      <w:tr w:rsidR="004278A6" w14:paraId="7D995D39" w14:textId="77777777" w:rsidTr="00291E66">
        <w:trPr>
          <w:trHeight w:val="417"/>
        </w:trPr>
        <w:tc>
          <w:tcPr>
            <w:tcW w:w="581" w:type="pct"/>
            <w:shd w:val="clear" w:color="auto" w:fill="auto"/>
          </w:tcPr>
          <w:p w14:paraId="4F898CA4" w14:textId="1BA8357C" w:rsidR="004278A6" w:rsidRPr="008444CF" w:rsidRDefault="004278A6" w:rsidP="004278A6">
            <w:pPr>
              <w:rPr>
                <w:bCs/>
                <w:sz w:val="20"/>
                <w:szCs w:val="20"/>
              </w:rPr>
            </w:pPr>
            <w:r>
              <w:rPr>
                <w:bCs/>
                <w:sz w:val="20"/>
                <w:szCs w:val="20"/>
              </w:rPr>
              <w:t>2.1</w:t>
            </w:r>
          </w:p>
        </w:tc>
        <w:tc>
          <w:tcPr>
            <w:tcW w:w="1048" w:type="pct"/>
            <w:gridSpan w:val="2"/>
            <w:shd w:val="clear" w:color="auto" w:fill="auto"/>
          </w:tcPr>
          <w:p w14:paraId="6AE54F2F" w14:textId="25850FB4" w:rsidR="004278A6" w:rsidRDefault="004278A6" w:rsidP="004278A6">
            <w:pPr>
              <w:rPr>
                <w:sz w:val="20"/>
                <w:szCs w:val="20"/>
              </w:rPr>
            </w:pPr>
            <w:r>
              <w:rPr>
                <w:sz w:val="20"/>
                <w:szCs w:val="20"/>
              </w:rPr>
              <w:t>31 May 2023</w:t>
            </w:r>
          </w:p>
        </w:tc>
        <w:tc>
          <w:tcPr>
            <w:tcW w:w="898" w:type="pct"/>
            <w:shd w:val="clear" w:color="auto" w:fill="auto"/>
          </w:tcPr>
          <w:p w14:paraId="7A1BB595" w14:textId="4C4F5411" w:rsidR="004278A6" w:rsidRDefault="004278A6" w:rsidP="004278A6">
            <w:pPr>
              <w:rPr>
                <w:rFonts w:cs="Calibri"/>
              </w:rPr>
            </w:pPr>
            <w:r>
              <w:rPr>
                <w:rFonts w:cs="Calibri"/>
              </w:rPr>
              <w:t xml:space="preserve">Paweł </w:t>
            </w:r>
            <w:proofErr w:type="spellStart"/>
            <w:r>
              <w:rPr>
                <w:rFonts w:cs="Calibri"/>
              </w:rPr>
              <w:t>Piętak</w:t>
            </w:r>
            <w:proofErr w:type="spellEnd"/>
          </w:p>
        </w:tc>
        <w:tc>
          <w:tcPr>
            <w:tcW w:w="1551" w:type="pct"/>
            <w:shd w:val="clear" w:color="auto" w:fill="auto"/>
          </w:tcPr>
          <w:p w14:paraId="14120A8B" w14:textId="7F5605D9" w:rsidR="004278A6" w:rsidRPr="00345CD2" w:rsidRDefault="004278A6" w:rsidP="004278A6">
            <w:pPr>
              <w:rPr>
                <w:sz w:val="20"/>
                <w:szCs w:val="20"/>
              </w:rPr>
            </w:pPr>
            <w:r>
              <w:rPr>
                <w:sz w:val="20"/>
                <w:szCs w:val="20"/>
              </w:rPr>
              <w:t>Restricted territories list update</w:t>
            </w:r>
          </w:p>
        </w:tc>
        <w:tc>
          <w:tcPr>
            <w:tcW w:w="922" w:type="pct"/>
            <w:shd w:val="clear" w:color="auto" w:fill="auto"/>
          </w:tcPr>
          <w:p w14:paraId="132B4240" w14:textId="608F3328" w:rsidR="004278A6" w:rsidRDefault="004278A6" w:rsidP="004278A6">
            <w:pPr>
              <w:rPr>
                <w:rFonts w:cs="Calibri"/>
              </w:rPr>
            </w:pPr>
            <w:r>
              <w:rPr>
                <w:rFonts w:cs="Calibri"/>
              </w:rPr>
              <w:t xml:space="preserve">Paweł </w:t>
            </w:r>
            <w:proofErr w:type="spellStart"/>
            <w:r>
              <w:rPr>
                <w:rFonts w:cs="Calibri"/>
              </w:rPr>
              <w:t>Piętak</w:t>
            </w:r>
            <w:proofErr w:type="spellEnd"/>
          </w:p>
        </w:tc>
      </w:tr>
      <w:tr w:rsidR="006A2B07" w14:paraId="03768630" w14:textId="77777777" w:rsidTr="00291E66">
        <w:trPr>
          <w:trHeight w:val="417"/>
        </w:trPr>
        <w:tc>
          <w:tcPr>
            <w:tcW w:w="581" w:type="pct"/>
            <w:shd w:val="clear" w:color="auto" w:fill="auto"/>
          </w:tcPr>
          <w:p w14:paraId="3C19E6D3" w14:textId="5DA37171" w:rsidR="006A2B07" w:rsidRDefault="006A2B07" w:rsidP="00B20D61">
            <w:pPr>
              <w:spacing w:after="0"/>
              <w:rPr>
                <w:bCs/>
                <w:sz w:val="20"/>
                <w:szCs w:val="20"/>
              </w:rPr>
            </w:pPr>
            <w:r>
              <w:rPr>
                <w:bCs/>
                <w:sz w:val="20"/>
                <w:szCs w:val="20"/>
              </w:rPr>
              <w:t>2.2</w:t>
            </w:r>
          </w:p>
        </w:tc>
        <w:tc>
          <w:tcPr>
            <w:tcW w:w="1048" w:type="pct"/>
            <w:gridSpan w:val="2"/>
            <w:shd w:val="clear" w:color="auto" w:fill="auto"/>
          </w:tcPr>
          <w:p w14:paraId="48B8FA0E" w14:textId="1AD1505B" w:rsidR="006A2B07" w:rsidRDefault="006A2B07" w:rsidP="00B20D61">
            <w:pPr>
              <w:spacing w:after="0"/>
              <w:rPr>
                <w:sz w:val="20"/>
                <w:szCs w:val="20"/>
              </w:rPr>
            </w:pPr>
            <w:r>
              <w:rPr>
                <w:sz w:val="20"/>
                <w:szCs w:val="20"/>
              </w:rPr>
              <w:t>11 January 2024</w:t>
            </w:r>
          </w:p>
        </w:tc>
        <w:tc>
          <w:tcPr>
            <w:tcW w:w="898" w:type="pct"/>
            <w:shd w:val="clear" w:color="auto" w:fill="auto"/>
          </w:tcPr>
          <w:p w14:paraId="7B5DB6E9" w14:textId="688EBEDB" w:rsidR="006A2B07" w:rsidRDefault="006A2B07" w:rsidP="00B20D61">
            <w:pPr>
              <w:spacing w:after="0"/>
              <w:rPr>
                <w:rFonts w:cs="Calibri"/>
              </w:rPr>
            </w:pPr>
            <w:r>
              <w:rPr>
                <w:rFonts w:cs="Calibri"/>
              </w:rPr>
              <w:t xml:space="preserve">Paweł </w:t>
            </w:r>
            <w:proofErr w:type="spellStart"/>
            <w:r>
              <w:rPr>
                <w:rFonts w:cs="Calibri"/>
              </w:rPr>
              <w:t>Piętak</w:t>
            </w:r>
            <w:proofErr w:type="spellEnd"/>
          </w:p>
        </w:tc>
        <w:tc>
          <w:tcPr>
            <w:tcW w:w="1551" w:type="pct"/>
            <w:shd w:val="clear" w:color="auto" w:fill="auto"/>
          </w:tcPr>
          <w:p w14:paraId="1755C97F" w14:textId="77777777" w:rsidR="006A2B07" w:rsidRPr="006A2B07" w:rsidRDefault="006A2B07" w:rsidP="00B20D61">
            <w:pPr>
              <w:spacing w:after="0"/>
              <w:rPr>
                <w:sz w:val="20"/>
                <w:szCs w:val="20"/>
              </w:rPr>
            </w:pPr>
            <w:r w:rsidRPr="006A2B07">
              <w:rPr>
                <w:sz w:val="20"/>
                <w:szCs w:val="20"/>
              </w:rPr>
              <w:t>Restricted territories list update</w:t>
            </w:r>
          </w:p>
          <w:p w14:paraId="553F01F4" w14:textId="511FD1EC" w:rsidR="006A2B07" w:rsidRDefault="006A2B07" w:rsidP="00B20D61">
            <w:pPr>
              <w:spacing w:after="0"/>
              <w:rPr>
                <w:sz w:val="20"/>
                <w:szCs w:val="20"/>
              </w:rPr>
            </w:pPr>
            <w:r w:rsidRPr="006A2B07">
              <w:rPr>
                <w:sz w:val="20"/>
                <w:szCs w:val="20"/>
              </w:rPr>
              <w:t>- list moved to a separate Annex 1 document.</w:t>
            </w:r>
          </w:p>
        </w:tc>
        <w:tc>
          <w:tcPr>
            <w:tcW w:w="922" w:type="pct"/>
            <w:shd w:val="clear" w:color="auto" w:fill="auto"/>
          </w:tcPr>
          <w:p w14:paraId="6D3ACA79" w14:textId="32C94D68" w:rsidR="006A2B07" w:rsidRDefault="006A2B07" w:rsidP="00B20D61">
            <w:pPr>
              <w:spacing w:after="0"/>
              <w:rPr>
                <w:rFonts w:cs="Calibri"/>
              </w:rPr>
            </w:pPr>
            <w:r>
              <w:rPr>
                <w:rFonts w:cs="Calibri"/>
              </w:rPr>
              <w:t xml:space="preserve">Paweł </w:t>
            </w:r>
            <w:proofErr w:type="spellStart"/>
            <w:r>
              <w:rPr>
                <w:rFonts w:cs="Calibri"/>
              </w:rPr>
              <w:t>Piętak</w:t>
            </w:r>
            <w:proofErr w:type="spellEnd"/>
          </w:p>
        </w:tc>
      </w:tr>
      <w:tr w:rsidR="00B20D61" w14:paraId="4D792A34" w14:textId="77777777" w:rsidTr="00291E66">
        <w:trPr>
          <w:trHeight w:val="417"/>
        </w:trPr>
        <w:tc>
          <w:tcPr>
            <w:tcW w:w="581" w:type="pct"/>
            <w:shd w:val="clear" w:color="auto" w:fill="auto"/>
          </w:tcPr>
          <w:p w14:paraId="4C174E40" w14:textId="507212C1" w:rsidR="00B20D61" w:rsidRDefault="00B20D61">
            <w:pPr>
              <w:spacing w:after="0"/>
              <w:rPr>
                <w:bCs/>
                <w:sz w:val="20"/>
                <w:szCs w:val="20"/>
              </w:rPr>
            </w:pPr>
            <w:r>
              <w:rPr>
                <w:bCs/>
                <w:sz w:val="20"/>
                <w:szCs w:val="20"/>
              </w:rPr>
              <w:t>2.3.</w:t>
            </w:r>
          </w:p>
        </w:tc>
        <w:tc>
          <w:tcPr>
            <w:tcW w:w="1048" w:type="pct"/>
            <w:gridSpan w:val="2"/>
            <w:shd w:val="clear" w:color="auto" w:fill="auto"/>
          </w:tcPr>
          <w:p w14:paraId="3521C8E3" w14:textId="1A10C68C" w:rsidR="00B20D61" w:rsidRDefault="00B20D61">
            <w:pPr>
              <w:spacing w:after="0"/>
              <w:rPr>
                <w:sz w:val="20"/>
                <w:szCs w:val="20"/>
              </w:rPr>
            </w:pPr>
            <w:r>
              <w:rPr>
                <w:sz w:val="20"/>
                <w:szCs w:val="20"/>
              </w:rPr>
              <w:t>15 January 2024</w:t>
            </w:r>
          </w:p>
        </w:tc>
        <w:tc>
          <w:tcPr>
            <w:tcW w:w="898" w:type="pct"/>
            <w:shd w:val="clear" w:color="auto" w:fill="auto"/>
          </w:tcPr>
          <w:p w14:paraId="6C248BEC" w14:textId="0CE0E14B" w:rsidR="00B20D61" w:rsidRDefault="00B20D61">
            <w:pPr>
              <w:spacing w:after="0"/>
              <w:rPr>
                <w:rFonts w:cs="Calibri"/>
              </w:rPr>
            </w:pPr>
            <w:r>
              <w:rPr>
                <w:rFonts w:cs="Calibri"/>
              </w:rPr>
              <w:t xml:space="preserve">Paweł </w:t>
            </w:r>
            <w:proofErr w:type="spellStart"/>
            <w:r>
              <w:rPr>
                <w:rFonts w:cs="Calibri"/>
              </w:rPr>
              <w:t>Piętak</w:t>
            </w:r>
            <w:proofErr w:type="spellEnd"/>
          </w:p>
        </w:tc>
        <w:tc>
          <w:tcPr>
            <w:tcW w:w="1551" w:type="pct"/>
            <w:shd w:val="clear" w:color="auto" w:fill="auto"/>
          </w:tcPr>
          <w:p w14:paraId="5118C64F" w14:textId="16743179" w:rsidR="00B20D61" w:rsidRPr="006A2B07" w:rsidRDefault="00B20D61">
            <w:pPr>
              <w:spacing w:after="0"/>
              <w:rPr>
                <w:sz w:val="20"/>
                <w:szCs w:val="20"/>
              </w:rPr>
            </w:pPr>
            <w:r>
              <w:rPr>
                <w:sz w:val="20"/>
                <w:szCs w:val="20"/>
              </w:rPr>
              <w:t>New domains</w:t>
            </w:r>
          </w:p>
        </w:tc>
        <w:tc>
          <w:tcPr>
            <w:tcW w:w="922" w:type="pct"/>
            <w:shd w:val="clear" w:color="auto" w:fill="auto"/>
          </w:tcPr>
          <w:p w14:paraId="3E7C9BFE" w14:textId="0CE16EA5" w:rsidR="00B20D61" w:rsidRDefault="00B20D61">
            <w:pPr>
              <w:spacing w:after="0"/>
              <w:rPr>
                <w:rFonts w:cs="Calibri"/>
              </w:rPr>
            </w:pPr>
            <w:r>
              <w:rPr>
                <w:rFonts w:cs="Calibri"/>
              </w:rPr>
              <w:t xml:space="preserve">Paweł </w:t>
            </w:r>
            <w:proofErr w:type="spellStart"/>
            <w:r>
              <w:rPr>
                <w:rFonts w:cs="Calibri"/>
              </w:rPr>
              <w:t>Piętak</w:t>
            </w:r>
            <w:proofErr w:type="spellEnd"/>
          </w:p>
        </w:tc>
      </w:tr>
    </w:tbl>
    <w:p w14:paraId="6F7086A5" w14:textId="77777777" w:rsidR="001730B7" w:rsidRPr="001730B7" w:rsidRDefault="001730B7" w:rsidP="001730B7">
      <w:pPr>
        <w:pStyle w:val="ListParagraph"/>
        <w:spacing w:after="0" w:line="300" w:lineRule="exact"/>
        <w:rPr>
          <w:rFonts w:ascii="Times New Roman" w:hAnsi="Times New Roman" w:cs="Times New Roman"/>
        </w:rPr>
      </w:pPr>
    </w:p>
    <w:p w14:paraId="4971C245" w14:textId="77777777" w:rsidR="003739C8" w:rsidRPr="00F34F09" w:rsidRDefault="003739C8" w:rsidP="006009EB">
      <w:pPr>
        <w:spacing w:after="0" w:line="300" w:lineRule="exact"/>
        <w:rPr>
          <w:rFonts w:ascii="Times New Roman" w:hAnsi="Times New Roman" w:cs="Times New Roman"/>
        </w:rPr>
      </w:pPr>
    </w:p>
    <w:sectPr w:rsidR="003739C8" w:rsidRPr="00F34F09" w:rsidSect="00B34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1BB"/>
    <w:multiLevelType w:val="multilevel"/>
    <w:tmpl w:val="EEDAC0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9416E5"/>
    <w:multiLevelType w:val="multilevel"/>
    <w:tmpl w:val="0C7A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D7691"/>
    <w:multiLevelType w:val="multilevel"/>
    <w:tmpl w:val="ECD4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D2FC3"/>
    <w:multiLevelType w:val="hybridMultilevel"/>
    <w:tmpl w:val="08E0F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6E576C"/>
    <w:multiLevelType w:val="hybridMultilevel"/>
    <w:tmpl w:val="040EF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837021"/>
    <w:multiLevelType w:val="multilevel"/>
    <w:tmpl w:val="DDF8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0454"/>
    <w:multiLevelType w:val="hybridMultilevel"/>
    <w:tmpl w:val="6C8E1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414300"/>
    <w:multiLevelType w:val="hybridMultilevel"/>
    <w:tmpl w:val="543ACA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226C37"/>
    <w:multiLevelType w:val="hybridMultilevel"/>
    <w:tmpl w:val="757EFB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3D06F1"/>
    <w:multiLevelType w:val="multilevel"/>
    <w:tmpl w:val="E48ED1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E162E1"/>
    <w:multiLevelType w:val="multilevel"/>
    <w:tmpl w:val="5200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E45AEF"/>
    <w:multiLevelType w:val="hybridMultilevel"/>
    <w:tmpl w:val="81484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77CC8"/>
    <w:multiLevelType w:val="multilevel"/>
    <w:tmpl w:val="C6DC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0A196D"/>
    <w:multiLevelType w:val="hybridMultilevel"/>
    <w:tmpl w:val="4030BE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2C4787"/>
    <w:multiLevelType w:val="multilevel"/>
    <w:tmpl w:val="A940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D9254B"/>
    <w:multiLevelType w:val="multilevel"/>
    <w:tmpl w:val="BF52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0C4672"/>
    <w:multiLevelType w:val="hybridMultilevel"/>
    <w:tmpl w:val="6CAEC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A02CE3"/>
    <w:multiLevelType w:val="hybridMultilevel"/>
    <w:tmpl w:val="78F6D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25014A"/>
    <w:multiLevelType w:val="hybridMultilevel"/>
    <w:tmpl w:val="51D82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CC41FAC"/>
    <w:multiLevelType w:val="multilevel"/>
    <w:tmpl w:val="8574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6C2F5A"/>
    <w:multiLevelType w:val="hybridMultilevel"/>
    <w:tmpl w:val="82AC68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F5E6984"/>
    <w:multiLevelType w:val="hybridMultilevel"/>
    <w:tmpl w:val="6010AC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5496BA9"/>
    <w:multiLevelType w:val="multilevel"/>
    <w:tmpl w:val="F14E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4A5015"/>
    <w:multiLevelType w:val="hybridMultilevel"/>
    <w:tmpl w:val="EDD497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8F24BA2"/>
    <w:multiLevelType w:val="multilevel"/>
    <w:tmpl w:val="872C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A3951"/>
    <w:multiLevelType w:val="hybridMultilevel"/>
    <w:tmpl w:val="3F5C2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6C66A1C"/>
    <w:multiLevelType w:val="multilevel"/>
    <w:tmpl w:val="E248A2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8A01ED"/>
    <w:multiLevelType w:val="multilevel"/>
    <w:tmpl w:val="2DFA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A5120C"/>
    <w:multiLevelType w:val="multilevel"/>
    <w:tmpl w:val="1366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6088078">
    <w:abstractNumId w:val="2"/>
  </w:num>
  <w:num w:numId="2" w16cid:durableId="751777681">
    <w:abstractNumId w:val="9"/>
    <w:lvlOverride w:ilvl="0">
      <w:lvl w:ilvl="0">
        <w:numFmt w:val="decimal"/>
        <w:lvlText w:val="%1."/>
        <w:lvlJc w:val="left"/>
      </w:lvl>
    </w:lvlOverride>
  </w:num>
  <w:num w:numId="3" w16cid:durableId="929701805">
    <w:abstractNumId w:val="26"/>
    <w:lvlOverride w:ilvl="0">
      <w:lvl w:ilvl="0">
        <w:numFmt w:val="decimal"/>
        <w:lvlText w:val="%1."/>
        <w:lvlJc w:val="left"/>
      </w:lvl>
    </w:lvlOverride>
  </w:num>
  <w:num w:numId="4" w16cid:durableId="2043633674">
    <w:abstractNumId w:val="10"/>
  </w:num>
  <w:num w:numId="5" w16cid:durableId="1742360934">
    <w:abstractNumId w:val="27"/>
  </w:num>
  <w:num w:numId="6" w16cid:durableId="1576235638">
    <w:abstractNumId w:val="15"/>
  </w:num>
  <w:num w:numId="7" w16cid:durableId="1713924129">
    <w:abstractNumId w:val="5"/>
  </w:num>
  <w:num w:numId="8" w16cid:durableId="81729580">
    <w:abstractNumId w:val="14"/>
  </w:num>
  <w:num w:numId="9" w16cid:durableId="1402022687">
    <w:abstractNumId w:val="19"/>
  </w:num>
  <w:num w:numId="10" w16cid:durableId="1728649190">
    <w:abstractNumId w:val="22"/>
  </w:num>
  <w:num w:numId="11" w16cid:durableId="265844743">
    <w:abstractNumId w:val="1"/>
  </w:num>
  <w:num w:numId="12" w16cid:durableId="1361084262">
    <w:abstractNumId w:val="28"/>
  </w:num>
  <w:num w:numId="13" w16cid:durableId="1883857444">
    <w:abstractNumId w:val="12"/>
  </w:num>
  <w:num w:numId="14" w16cid:durableId="1397242360">
    <w:abstractNumId w:val="24"/>
  </w:num>
  <w:num w:numId="15" w16cid:durableId="1765763622">
    <w:abstractNumId w:val="3"/>
  </w:num>
  <w:num w:numId="16" w16cid:durableId="368803807">
    <w:abstractNumId w:val="13"/>
  </w:num>
  <w:num w:numId="17" w16cid:durableId="824198136">
    <w:abstractNumId w:val="21"/>
  </w:num>
  <w:num w:numId="18" w16cid:durableId="819078385">
    <w:abstractNumId w:val="17"/>
  </w:num>
  <w:num w:numId="19" w16cid:durableId="519975251">
    <w:abstractNumId w:val="6"/>
  </w:num>
  <w:num w:numId="20" w16cid:durableId="929241279">
    <w:abstractNumId w:val="25"/>
  </w:num>
  <w:num w:numId="21" w16cid:durableId="92745859">
    <w:abstractNumId w:val="11"/>
  </w:num>
  <w:num w:numId="22" w16cid:durableId="1183469695">
    <w:abstractNumId w:val="8"/>
  </w:num>
  <w:num w:numId="23" w16cid:durableId="1909226209">
    <w:abstractNumId w:val="23"/>
  </w:num>
  <w:num w:numId="24" w16cid:durableId="1290816032">
    <w:abstractNumId w:val="18"/>
  </w:num>
  <w:num w:numId="25" w16cid:durableId="688067593">
    <w:abstractNumId w:val="4"/>
  </w:num>
  <w:num w:numId="26" w16cid:durableId="1969584250">
    <w:abstractNumId w:val="20"/>
  </w:num>
  <w:num w:numId="27" w16cid:durableId="1471904383">
    <w:abstractNumId w:val="7"/>
  </w:num>
  <w:num w:numId="28" w16cid:durableId="2134983099">
    <w:abstractNumId w:val="0"/>
  </w:num>
  <w:num w:numId="29" w16cid:durableId="4009113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1E"/>
    <w:rsid w:val="00084AA6"/>
    <w:rsid w:val="000958E7"/>
    <w:rsid w:val="000A3B40"/>
    <w:rsid w:val="000B1C49"/>
    <w:rsid w:val="000D241E"/>
    <w:rsid w:val="001220EF"/>
    <w:rsid w:val="0016021A"/>
    <w:rsid w:val="00170A61"/>
    <w:rsid w:val="001730B7"/>
    <w:rsid w:val="00203F28"/>
    <w:rsid w:val="00206418"/>
    <w:rsid w:val="00216E52"/>
    <w:rsid w:val="00246F3F"/>
    <w:rsid w:val="00257F5C"/>
    <w:rsid w:val="0026276C"/>
    <w:rsid w:val="0027231D"/>
    <w:rsid w:val="002B70E5"/>
    <w:rsid w:val="002C25FB"/>
    <w:rsid w:val="002E789B"/>
    <w:rsid w:val="003170FC"/>
    <w:rsid w:val="003226B9"/>
    <w:rsid w:val="0035212E"/>
    <w:rsid w:val="00354056"/>
    <w:rsid w:val="003739C8"/>
    <w:rsid w:val="003A3B9B"/>
    <w:rsid w:val="003D69D1"/>
    <w:rsid w:val="003E2225"/>
    <w:rsid w:val="003E5D92"/>
    <w:rsid w:val="004278A6"/>
    <w:rsid w:val="004859C3"/>
    <w:rsid w:val="004A35E4"/>
    <w:rsid w:val="004C0452"/>
    <w:rsid w:val="00552B52"/>
    <w:rsid w:val="005C46A7"/>
    <w:rsid w:val="005E7F7F"/>
    <w:rsid w:val="005F5CE8"/>
    <w:rsid w:val="006009EB"/>
    <w:rsid w:val="006547BB"/>
    <w:rsid w:val="006829FE"/>
    <w:rsid w:val="006A2B07"/>
    <w:rsid w:val="006B524C"/>
    <w:rsid w:val="006B65BC"/>
    <w:rsid w:val="00783986"/>
    <w:rsid w:val="00786CE3"/>
    <w:rsid w:val="007C7DB9"/>
    <w:rsid w:val="007D174D"/>
    <w:rsid w:val="00843A1A"/>
    <w:rsid w:val="008510B8"/>
    <w:rsid w:val="00887197"/>
    <w:rsid w:val="0090368D"/>
    <w:rsid w:val="00931F9C"/>
    <w:rsid w:val="00964F44"/>
    <w:rsid w:val="00965FCD"/>
    <w:rsid w:val="009703D6"/>
    <w:rsid w:val="00986174"/>
    <w:rsid w:val="009A3028"/>
    <w:rsid w:val="009D1BED"/>
    <w:rsid w:val="009E663C"/>
    <w:rsid w:val="00A20620"/>
    <w:rsid w:val="00A33D9B"/>
    <w:rsid w:val="00A42375"/>
    <w:rsid w:val="00A75A06"/>
    <w:rsid w:val="00A819FC"/>
    <w:rsid w:val="00A921BF"/>
    <w:rsid w:val="00A9291F"/>
    <w:rsid w:val="00AE35B0"/>
    <w:rsid w:val="00B20D61"/>
    <w:rsid w:val="00B34516"/>
    <w:rsid w:val="00BB1F31"/>
    <w:rsid w:val="00BC7C1F"/>
    <w:rsid w:val="00BD2427"/>
    <w:rsid w:val="00C000A2"/>
    <w:rsid w:val="00C52C7B"/>
    <w:rsid w:val="00C8494B"/>
    <w:rsid w:val="00C944F9"/>
    <w:rsid w:val="00CD47FF"/>
    <w:rsid w:val="00CD760E"/>
    <w:rsid w:val="00D03BEE"/>
    <w:rsid w:val="00D163E9"/>
    <w:rsid w:val="00D50679"/>
    <w:rsid w:val="00D55153"/>
    <w:rsid w:val="00D754B4"/>
    <w:rsid w:val="00D75A1F"/>
    <w:rsid w:val="00D97498"/>
    <w:rsid w:val="00E16588"/>
    <w:rsid w:val="00E27D9F"/>
    <w:rsid w:val="00E6639C"/>
    <w:rsid w:val="00E767B7"/>
    <w:rsid w:val="00E843D9"/>
    <w:rsid w:val="00EF70B8"/>
    <w:rsid w:val="00F06AC5"/>
    <w:rsid w:val="00F12726"/>
    <w:rsid w:val="00F34F09"/>
    <w:rsid w:val="00F43D80"/>
    <w:rsid w:val="00F7507D"/>
    <w:rsid w:val="00FB4F55"/>
    <w:rsid w:val="00FF445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4EAE"/>
  <w15:chartTrackingRefBased/>
  <w15:docId w15:val="{8CAC9204-4E4C-471C-B0AD-B9166F96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D241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241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D24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D241E"/>
    <w:rPr>
      <w:color w:val="0000FF"/>
      <w:u w:val="single"/>
    </w:rPr>
  </w:style>
  <w:style w:type="character" w:customStyle="1" w:styleId="apple-tab-span">
    <w:name w:val="apple-tab-span"/>
    <w:basedOn w:val="DefaultParagraphFont"/>
    <w:rsid w:val="000D241E"/>
  </w:style>
  <w:style w:type="paragraph" w:styleId="ListParagraph">
    <w:name w:val="List Paragraph"/>
    <w:basedOn w:val="Normal"/>
    <w:uiPriority w:val="34"/>
    <w:qFormat/>
    <w:rsid w:val="006009EB"/>
    <w:pPr>
      <w:ind w:left="720"/>
      <w:contextualSpacing/>
    </w:pPr>
  </w:style>
  <w:style w:type="paragraph" w:styleId="Revision">
    <w:name w:val="Revision"/>
    <w:hidden/>
    <w:uiPriority w:val="99"/>
    <w:semiHidden/>
    <w:rsid w:val="009D1BED"/>
    <w:pPr>
      <w:spacing w:after="0" w:line="240" w:lineRule="auto"/>
    </w:pPr>
  </w:style>
  <w:style w:type="character" w:styleId="CommentReference">
    <w:name w:val="annotation reference"/>
    <w:basedOn w:val="DefaultParagraphFont"/>
    <w:uiPriority w:val="99"/>
    <w:semiHidden/>
    <w:unhideWhenUsed/>
    <w:rsid w:val="00F7507D"/>
    <w:rPr>
      <w:sz w:val="16"/>
      <w:szCs w:val="16"/>
    </w:rPr>
  </w:style>
  <w:style w:type="paragraph" w:styleId="CommentText">
    <w:name w:val="annotation text"/>
    <w:basedOn w:val="Normal"/>
    <w:link w:val="CommentTextChar"/>
    <w:uiPriority w:val="99"/>
    <w:unhideWhenUsed/>
    <w:rsid w:val="00F7507D"/>
    <w:pPr>
      <w:spacing w:line="240" w:lineRule="auto"/>
    </w:pPr>
    <w:rPr>
      <w:sz w:val="20"/>
      <w:szCs w:val="20"/>
    </w:rPr>
  </w:style>
  <w:style w:type="character" w:customStyle="1" w:styleId="CommentTextChar">
    <w:name w:val="Comment Text Char"/>
    <w:basedOn w:val="DefaultParagraphFont"/>
    <w:link w:val="CommentText"/>
    <w:uiPriority w:val="99"/>
    <w:rsid w:val="00F7507D"/>
    <w:rPr>
      <w:sz w:val="20"/>
      <w:szCs w:val="20"/>
    </w:rPr>
  </w:style>
  <w:style w:type="paragraph" w:styleId="CommentSubject">
    <w:name w:val="annotation subject"/>
    <w:basedOn w:val="CommentText"/>
    <w:next w:val="CommentText"/>
    <w:link w:val="CommentSubjectChar"/>
    <w:uiPriority w:val="99"/>
    <w:semiHidden/>
    <w:unhideWhenUsed/>
    <w:rsid w:val="00F7507D"/>
    <w:rPr>
      <w:b/>
      <w:bCs/>
    </w:rPr>
  </w:style>
  <w:style w:type="character" w:customStyle="1" w:styleId="CommentSubjectChar">
    <w:name w:val="Comment Subject Char"/>
    <w:basedOn w:val="CommentTextChar"/>
    <w:link w:val="CommentSubject"/>
    <w:uiPriority w:val="99"/>
    <w:semiHidden/>
    <w:rsid w:val="00F750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09949">
      <w:bodyDiv w:val="1"/>
      <w:marLeft w:val="0"/>
      <w:marRight w:val="0"/>
      <w:marTop w:val="0"/>
      <w:marBottom w:val="0"/>
      <w:divBdr>
        <w:top w:val="none" w:sz="0" w:space="0" w:color="auto"/>
        <w:left w:val="none" w:sz="0" w:space="0" w:color="auto"/>
        <w:bottom w:val="none" w:sz="0" w:space="0" w:color="auto"/>
        <w:right w:val="none" w:sz="0" w:space="0" w:color="auto"/>
      </w:divBdr>
    </w:div>
    <w:div w:id="107073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1EEBBD8FD0CC448CC46242A3D00EAE" ma:contentTypeVersion="15" ma:contentTypeDescription="Create a new document." ma:contentTypeScope="" ma:versionID="535392d840e1d050c041e12c0482dea0">
  <xsd:schema xmlns:xsd="http://www.w3.org/2001/XMLSchema" xmlns:xs="http://www.w3.org/2001/XMLSchema" xmlns:p="http://schemas.microsoft.com/office/2006/metadata/properties" xmlns:ns2="a14a3da4-3f49-4d97-912a-b812134ad207" xmlns:ns3="709987ab-9dbd-4cb0-98b0-f98982d61dba" targetNamespace="http://schemas.microsoft.com/office/2006/metadata/properties" ma:root="true" ma:fieldsID="d1f5c75e6ef718d24382d942f5e1bd90" ns2:_="" ns3:_="">
    <xsd:import namespace="a14a3da4-3f49-4d97-912a-b812134ad207"/>
    <xsd:import namespace="709987ab-9dbd-4cb0-98b0-f98982d61d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a3da4-3f49-4d97-912a-b812134ad2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358e24-85c9-4cac-9481-83e74738fddf}" ma:internalName="TaxCatchAll" ma:showField="CatchAllData" ma:web="a14a3da4-3f49-4d97-912a-b812134ad2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9987ab-9dbd-4cb0-98b0-f98982d61d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d85fd5e-bc9f-4e4a-8c72-dd7b00b82b8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9987ab-9dbd-4cb0-98b0-f98982d61dba">
      <Terms xmlns="http://schemas.microsoft.com/office/infopath/2007/PartnerControls"/>
    </lcf76f155ced4ddcb4097134ff3c332f>
    <TaxCatchAll xmlns="a14a3da4-3f49-4d97-912a-b812134ad207" xsi:nil="true"/>
  </documentManagement>
</p:properties>
</file>

<file path=customXml/itemProps1.xml><?xml version="1.0" encoding="utf-8"?>
<ds:datastoreItem xmlns:ds="http://schemas.openxmlformats.org/officeDocument/2006/customXml" ds:itemID="{6FDF44EF-2C45-44B3-82C1-54889088082A}">
  <ds:schemaRefs>
    <ds:schemaRef ds:uri="http://schemas.microsoft.com/sharepoint/v3/contenttype/forms"/>
  </ds:schemaRefs>
</ds:datastoreItem>
</file>

<file path=customXml/itemProps2.xml><?xml version="1.0" encoding="utf-8"?>
<ds:datastoreItem xmlns:ds="http://schemas.openxmlformats.org/officeDocument/2006/customXml" ds:itemID="{1B63DF92-040A-4621-83AE-8640E74E8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a3da4-3f49-4d97-912a-b812134ad207"/>
    <ds:schemaRef ds:uri="709987ab-9dbd-4cb0-98b0-f98982d61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B2BE0-F67D-40DF-B78B-687F181EA1FA}">
  <ds:schemaRefs>
    <ds:schemaRef ds:uri="http://schemas.microsoft.com/office/2006/metadata/properties"/>
    <ds:schemaRef ds:uri="http://schemas.microsoft.com/office/infopath/2007/PartnerControls"/>
    <ds:schemaRef ds:uri="709987ab-9dbd-4cb0-98b0-f98982d61dba"/>
    <ds:schemaRef ds:uri="a14a3da4-3f49-4d97-912a-b812134ad207"/>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10</Pages>
  <Words>3290</Words>
  <Characters>18755</Characters>
  <Application>Microsoft Office Word</Application>
  <DocSecurity>0</DocSecurity>
  <Lines>156</Lines>
  <Paragraphs>44</Paragraphs>
  <ScaleCrop>false</ScaleCrop>
  <HeadingPairs>
    <vt:vector size="6" baseType="variant">
      <vt:variant>
        <vt:lpstr>Title</vt:lpstr>
      </vt:variant>
      <vt:variant>
        <vt:i4>1</vt:i4>
      </vt:variant>
      <vt:variant>
        <vt:lpstr>Назва</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Team</dc:creator>
  <cp:keywords/>
  <dc:description/>
  <cp:lastModifiedBy>Legal</cp:lastModifiedBy>
  <cp:revision>8</cp:revision>
  <dcterms:created xsi:type="dcterms:W3CDTF">2023-05-31T08:57:00Z</dcterms:created>
  <dcterms:modified xsi:type="dcterms:W3CDTF">2024-01-29T07:45:00Z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0x0101003D1EEBBD8FD0CC448CC46242A3D00EAE</vt:lpwstr>
  </property>
</Properties>
</file>